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pyrobuilds_independence_calibration</w:t>
      </w:r>
    </w:p>
    <w:p>
      <w:r>
        <w:t xml:space="preserve"> </w:t>
      </w:r>
    </w:p>
    <w:p>
      <w:pPr>
        <w:pStyle w:val="Heading2"/>
      </w:pPr>
      <w:r>
        <w:t>Title</w:t>
      </w:r>
    </w:p>
    <w:p>
      <w:r>
        <w:t>Calibration of configuration-independence inference to control false positives and enable safe incremental build reuse in large configurable software spaces</w:t>
      </w:r>
    </w:p>
    <w:p>
      <w:r>
        <w:t xml:space="preserve"> </w:t>
      </w:r>
    </w:p>
    <w:p>
      <w:pPr>
        <w:pStyle w:val="Heading2"/>
      </w:pPr>
      <w:r>
        <w:t>Short Hypothesis</w:t>
      </w:r>
    </w:p>
    <w:p>
      <w:r>
        <w:t>Calibrating inferred independence confidence scores using a stratified labeled ground-truth set and decision-theoretic thresholds reduces the false-positive rate of claimed non-affecting configuration dimensions to ≤5% compared to uncalibrated inference.</w:t>
      </w:r>
    </w:p>
    <w:p>
      <w:r>
        <w:t xml:space="preserve"> </w:t>
      </w:r>
    </w:p>
    <w:p>
      <w:pPr>
        <w:pStyle w:val="Heading2"/>
      </w:pPr>
      <w:r>
        <w:t>Related Work</w:t>
      </w:r>
    </w:p>
    <w:p>
      <w:r>
        <w:t>Existing build and caching systems use content-addressable storage, action caches, and incremental graph updates to speed builds. Systems like Bazel and Ninja emphasize exact action-key matching and remote caches; feature-model and constraint solvers are used to represent configuration spaces; sampling methods (t-wise, fractional factorial) are used to explore large variant spaces. Prior work that attempts cross-configuration reuse relies on heuristic folding of configuration into keys or manual annotations of config-affecting dimensions. Limitations: heuristics are not probability-calibrated and can produce unchecked false positives (claiming independence where it does not hold), there is limited work on decision-theoretic thresholding for safe automation (notify vs auto-invalidate), published evaluations often lack stratified ground-truth and reproducible calibration artifacts, and benchmarks rarely measure calibration, overhead trade-offs, or per-group failure rates. Metadata scaling and threat models (cache poisoning, toolchain drift) are addressed piecemeal but not integrated with calibrated inference.</w:t>
      </w:r>
    </w:p>
    <w:p>
      <w:r>
        <w:t xml:space="preserve"> </w:t>
      </w:r>
    </w:p>
    <w:p>
      <w:pPr>
        <w:pStyle w:val="Heading2"/>
      </w:pPr>
      <w:r>
        <w:t>Abstract</w:t>
      </w:r>
    </w:p>
    <w:p>
      <w:r>
        <w:t>We address the problem of safely reusing incremental build outputs across many software configurations by calibrating automated inferences that claim which configuration dimensions do not affect an action. An uncalibrated inference can wrongly omit a dimension from a cache key and cause incorrect reuse. We propose building a stratified labeled ground-truth suite and applying calibration methods to the raw confidence scores produced by static and dynamic independence inference. The method compares Platt scaling, isotonic regression, temperature scaling, and Bayesian binning on holdout sets, selects thresholds by minimizing expected decision loss (notify, auto-invalidate, ignore), and pre-registers stopping and recalibration rules. The main contribution is a reproducible calibration pipeline that produces audited confidence maps and per-group thresholds, with metrics that directly link calibration quality (Brier score, reliability diagrams) to operational safety (false-positive rates) and incremental-reuse gains (cache-hit increase). Expected outcome: controlled automation rules that keep false positives below operational budgets while enabling measurable cross-configuration reuse.</w:t>
      </w:r>
    </w:p>
    <w:p>
      <w:r>
        <w:t xml:space="preserve"> </w:t>
      </w:r>
    </w:p>
    <w:p>
      <w:pPr>
        <w:pStyle w:val="Heading2"/>
      </w:pPr>
      <w:r>
        <w:t>Experiments</w:t>
      </w:r>
    </w:p>
    <w:p>
      <w:r>
        <w:t>Datasets: (1) Synthetic ground-truth generator producing 500 labeled actions with known per-dimension affect matrix, plus nondeterministic and adversarial cases; (2) curated micro-repos in C and Rust with annotated action types; (3) three large real codebases: BusyBox, Linux kernel config subsets, and LLVM build fragments (selected because they expose many config dims). Baselines: (A) uncalibrated independence inference (raw scores); (B) conservative baseline that treats all dimensions as affecting; (C) aggressive folding baseline (heuristic dimension omission); (D) oracle with ground-truth independence. Evaluation metrics: false-positive rate (FP), false-negative rate (FN), precision, recall, ROC and PR curves with Wilson CIs, Brier score (mean squared probability error), reliability diagrams (calibration plots), build-time saved, cache-hit-rate, and metadata overhead (ms per action). Experimental setup: produce per-action confidence scores from static and dynamic inference; split labeled data into stratified calibration set (80%) and holdout test set (20%) stratified by repo, language, action-size (small/medium/large), and CI load (low/high). Compare calibration methods: Platt scaling (logistic), isotonic regression (monotonic nonparametric), temperature scaling (single-parameter softmax temperature), and Bayesian binning (probability binning). For each method: fit on calibration set, select thresholds by minimizing expected cost using a pre-defined loss matrix (FP_cost, FN_cost), and evaluate on holdout. Use bootstrap (1000 resamples) for CIs on FP/FN and bootstrap + Wilson for binomial metrics. Repeats and power: run paired experiments with ≥10 repeats initially per configuration, compute observed σ and adapt n using paired-sample formula n ≈ ((Z_{α/2}+Z_β)·σ/δ)^2 to reach 95% CI/80% power for a target δ (example: detecting 5% mean change with σ=10% needs ≈32 repeats). Ablations: (1) calibration method ablation (Platt vs isotonic vs temperature vs Bayesian), (2) stratification granularity ablation (global vs per-repo vs per-action-size), (3) sampling-rate ablation for dynamic trace collection (1%, 5%, 10%), (4) decision-threshold selection criteria (min expected loss vs fixed FP cap). Reporting: provide ROC/PR with bootstrap CIs, reliability diagrams with calibration belts, Brier decomposition, per-group FP/FN tables, build-time and cache-hit break-even curves (saved time vs metadata overhead). Pre-registration: record calibration scripts, seeds, loss matrix, and stopping rules before running holdout evaluations.</w:t>
      </w:r>
    </w:p>
    <w:p>
      <w:r>
        <w:t xml:space="preserve"> </w:t>
      </w:r>
    </w:p>
    <w:p>
      <w:pPr>
        <w:pStyle w:val="Heading2"/>
      </w:pPr>
      <w:r>
        <w:t>Risk Factors And Limitations</w:t>
      </w:r>
    </w:p>
    <w:p>
      <w:r>
        <w:t>Ground-truth labeling errors: synthetic or human-labeled cases may mislabel action independence, biasing calibration. Non-determinism: build nondeterminism can cause spurious differences that inflate FN or FP. Sampling bias: ground-truth or repo selection may not cover rare actions or languages, limiting generalization. Scalability: calibration and per-group thresholds increase metadata and compute; calibration pipelines may not scale to millions of actions without engineering. Overhead trade-offs: metadata fingerprinting and tracing may consume time and network bandwidth that erodes reuse gains. Adversarial threats: cache poisoning or crafted inputs may defeat calibrated rules if adversary is not modeled. Cross-toolchain limits: calibration measured on some toolchains/OSes may not transfer to others. Privacy/telemetry: collecting traces for calibration can expose build internals and developer data, creating policy constraints. These risks limit applicability and require cautious interpretation of measured FP/FN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