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refa_longitudinal_study</w:t>
      </w:r>
    </w:p>
    <w:p>
      <w:r>
        <w:t xml:space="preserve"> </w:t>
      </w:r>
    </w:p>
    <w:p>
      <w:pPr>
        <w:pStyle w:val="Heading2"/>
      </w:pPr>
      <w:r>
        <w:t>Title</w:t>
      </w:r>
    </w:p>
    <w:p>
      <w:r>
        <w:t>Stepped-wedge longitudinal evaluation of REFA: telemetry-driven policy-as-code interventions to align IEC 62443-4-1 security compliance with DevOps</w:t>
      </w:r>
    </w:p>
    <w:p>
      <w:r>
        <w:t xml:space="preserve"> </w:t>
      </w:r>
    </w:p>
    <w:p>
      <w:pPr>
        <w:pStyle w:val="Heading2"/>
      </w:pPr>
      <w:r>
        <w:t>Short Hypothesis</w:t>
      </w:r>
    </w:p>
    <w:p>
      <w:r>
        <w:t>Introducing REFA, a telemetry-based policy-as-code lifecycle aligned to IEC 62443-4-1, into DevOps pipelines will reduce median time-to-remediate (MTTR) for critical vulnerabilities by at least 20% while increasing lead time for changes by no more than 10%.</w:t>
      </w:r>
    </w:p>
    <w:p>
      <w:r>
        <w:t xml:space="preserve"> </w:t>
      </w:r>
    </w:p>
    <w:p>
      <w:pPr>
        <w:pStyle w:val="Heading2"/>
      </w:pPr>
      <w:r>
        <w:t>Related Work</w:t>
      </w:r>
    </w:p>
    <w:p>
      <w:r>
        <w:t>Prior work integrates automated security analysis, model-driven engineering, and policy-as-code into CI/CD pipelines to improve continuous security and reproducibility. Longitudinal and empirical studies emphasize measurement of operational security and velocity metrics (deployment frequency, lead time) and explore survival analyses for remediation. Limitations remain: telemetry schemas are inconsistent across toolchains, linking pipeline events to later security outcomes is weak, longitudinal measures of remediation cadence are sparse, and many studies lack reproducible collector artifacts or pre-registered experimental designs. Existing approaches rarely provide prescriptive lifecycle models tied to formal standards (like IEC 62443-4-1), and they often omit explicit contamination controls (staff mobility, shared pipelines), differential-privacy accounting for repeated releases, and concrete power/sample-size targets for cluster designs.</w:t>
      </w:r>
    </w:p>
    <w:p>
      <w:r>
        <w:t xml:space="preserve"> </w:t>
      </w:r>
    </w:p>
    <w:p>
      <w:pPr>
        <w:pStyle w:val="Heading2"/>
      </w:pPr>
      <w:r>
        <w:t>Abstract</w:t>
      </w:r>
    </w:p>
    <w:p>
      <w:r>
        <w:t>We propose a stepped-wedge longitudinal study to evaluate REFA, a prescriptive DevOps lifecycle model that integrates continuous telemetry and policy-as-code to meet IEC 62443-4-1 security requirements. The study instruments pipelines with a canonical telemetry schema, collects immutable event streams, and phases policy-as-code interventions across teams. The main contribution is an auditable, reproducible protocol that links pipeline events, automated policy checks, and remediation evidence to measurable compliance and security outcomes. We pre-specify primary endpoints (median time-to-remediate critical vulnerabilities and lead time for changes), statistical models (mixed-effects and survival models), and decision rules (effect-size targets and stop/go thresholds). Expected outcomes are measurable reductions in remediation time without unacceptable velocity loss, a validated telemetry schema and artifact set (collectors, IaC, analysis notebooks), and a tested methodology for future audits and replication. This work aims to provide operational, statistical, and governance artefacts to enable continuous security compliance in DevOps for critical infrastructure contexts.</w:t>
      </w:r>
    </w:p>
    <w:p>
      <w:r>
        <w:t xml:space="preserve"> </w:t>
      </w:r>
    </w:p>
    <w:p>
      <w:pPr>
        <w:pStyle w:val="Heading2"/>
      </w:pPr>
      <w:r>
        <w:t>Experiments</w:t>
      </w:r>
    </w:p>
    <w:p>
      <w:r>
        <w:t>Datasets: (1) Pilot telemetry from 8–12 engineering teams (clusters) across 6 monthly periods; each cluster-period target ≥30 builds. Telemetry fields: commit_id, repo, pipeline_id, stage_name, start_ts, end_ts, outcome, tests_passed, tests_total, vuln_counts (by severity), policy_checks_passed, approver, deployment_target, artifact_id, remediation_ts, incident_id_if_any. (2) Synthetic datasets matching schema for reproducibility and DIFF-privacy evaluation. Baselines: (A) Status-quo pipelines (no policy-as-code), (B) Advisory-only policy checks (non-blocking). Interventions: (I) REFA advisory -&gt; (II) REFA blocking gates (policy-as-code). Randomization and rollout: stepped-wedge by team (team = randomization unit), stratified by product criticality and team size; random assignment of roll-out order logged and audited. Evaluation metrics: primary: median MTTR for critical vulnerabilities (MTTR = time from vuln discovery to remediation), lead time for changes (commit → production). Secondary: deployment frequency, change failure rate, vulnerability density per release, % changes with automated policy checks, time-to-detect, policy-exception rate. Analysis methods: mixed-effects models with random intercepts for team and period fixed effects to control secular trends; survival analysis (Cox PH with time-varying covariates) for MTTR; interrupted time series as sensitivity. Small-sample inference: if clusters ≤10 or ICC&gt;0.10 use permutation inference or cluster wild bootstrap; otherwise use GLMM/GEE with robust SEs. Pre-specified covariates for adjustment: team_size, product_criticality, legacy_code_pct, cloud_vs_onprem, baseline_deployment_frequency. Balance checks: standardized mean differences threshold 0.1; if imbalance &gt;0.1 apply prognostic score adjustment. Ablation studies: (1) advisory-only vs blocking gating, (2) full telemetry schema vs reduced schema (drop vuln_counts or remediation_ts) to test importance of fields, (3) varying sampling fraction (25% vs 100%) to measure observer effects. Power/sample-size: pre-specified target detect ≥20% relative reduction in median MTTR at 80% power with 10 clusters, 6 periods, 30 builds/cluster-period and assumed ICC=0.05; publish full power workbook for alternate ICCs. Stopping and monitoring: interim look after half periods for data completeness and safety; stop if instrumentation overhead &gt;5% of build time, data completeness &lt;80%, or privacy incident. Differential privacy (DP) tests: per-release epsilon proposals (e.g., ε=1 for aggregate tables), composition accounting across releases recorded; run DP utility experiments on synthetic data and report noise impact on primary effect estimates.</w:t>
      </w:r>
    </w:p>
    <w:p>
      <w:r>
        <w:t xml:space="preserve"> </w:t>
      </w:r>
    </w:p>
    <w:p>
      <w:pPr>
        <w:pStyle w:val="Heading2"/>
      </w:pPr>
      <w:r>
        <w:t>Risk Factors And Limitations</w:t>
      </w:r>
    </w:p>
    <w:p>
      <w:r>
        <w:t>Contamination and carryover: staff moving between teams or shared pipelines can bias treatment effects and reduce internal validity. Observer effects: teams may change behavior because they are measured. Instrumentation overhead: collectors may add latency or resource use that affects build metrics. Data completeness: missing or delayed remediation timestamps will bias time-to-event analyses. Small cluster counts: few teams or high ICC reduce power and limit inferential methods; permutation inference may be needed but has lower precision. Model assumptions: proportional hazards may not hold for MTTR; alternatives (AFT, time-varying coefficients) may be required but complicate interpretation. Differential-privacy noise: DP mechanisms add statistical noise that can obscure small effects and affect replication. Generalization limits: results tied to IEC 62443-4-1 and sampled organizations may not transfer to other standards, sectors, or very small teams. Regulatory and consent constraints: RBAC, privacy, or legal limits may restrict access to needed telemetry fields, reducing analytic scope. Resource constraints: setup and maintenance of collectors, schema registry, and audits require engineering time and budget which may limit scale.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