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frequency_filter_metadescriptor</w:t>
      </w:r>
    </w:p>
    <w:p>
      <w:r>
        <w:t xml:space="preserve"> </w:t>
      </w:r>
    </w:p>
    <w:p>
      <w:pPr>
        <w:pStyle w:val="Heading2"/>
      </w:pPr>
      <w:r>
        <w:t>Title</w:t>
      </w:r>
    </w:p>
    <w:p>
      <w:r>
        <w:t>Variance-filtered frequency metadescriptors for concept identification in nonstationary data streams</w:t>
      </w:r>
    </w:p>
    <w:p>
      <w:r>
        <w:t xml:space="preserve"> </w:t>
      </w:r>
    </w:p>
    <w:p>
      <w:pPr>
        <w:pStyle w:val="Heading2"/>
      </w:pPr>
      <w:r>
        <w:t>Short Hypothesis</w:t>
      </w:r>
    </w:p>
    <w:p>
      <w:r>
        <w:t>Filtering frequency components of sample feature vectors by their variance across data batches produces metadescriptors that improve concept separation in nonstationary data streams versus clustering on raw features, as measured by higher clustering purity and concept-identification F1 at fixed processing latency.</w:t>
      </w:r>
    </w:p>
    <w:p>
      <w:r>
        <w:t xml:space="preserve"> </w:t>
      </w:r>
    </w:p>
    <w:p>
      <w:pPr>
        <w:pStyle w:val="Heading2"/>
      </w:pPr>
      <w:r>
        <w:t>Related Work</w:t>
      </w:r>
    </w:p>
    <w:p>
      <w:r>
        <w:t>Time-frequency analysis methods (STFT: short-time Fourier transform; multitaper spectral estimation: variance-reducing tapered spectra; wavelets and synchrosqueezing: multi-scale time-frequency sharpening) provide component-level descriptors for nonstationary signals but are usually applied to raw time series rather than sample feature vectors and often assume local stationarity. Sparse time-frequency decompositions and parametric TVAR (time-varying autoregressive) models yield compact descriptions but require strong model assumptions or heavy computation. Concept-drift and streaming metalearning research provides online clustering and drift detection but typically works in the original feature domain or low-rank projections and lacks frequency-domain metadescriptors and reproducible UQ under heavy tails. Existing uncertainty quantification approaches (jackknife, block bootstrap) are not widely validated for streaming, heavy-tailed, or abrupt-jump regimes. Benchmarks are limited: few standardized synthetic generators with ground-truth spectral trajectories and constrained CI coverage targets. These gaps limit interpretable, low-dimensional grouping of concepts under realistic nonstationarity.</w:t>
      </w:r>
    </w:p>
    <w:p>
      <w:r>
        <w:t xml:space="preserve"> </w:t>
      </w:r>
    </w:p>
    <w:p>
      <w:pPr>
        <w:pStyle w:val="Heading2"/>
      </w:pPr>
      <w:r>
        <w:t>Abstract</w:t>
      </w:r>
    </w:p>
    <w:p>
      <w:r>
        <w:t>We address the problem of identifying and grouping evolving concepts in nonstationary data streams by operating in the frequency domain of sample feature vectors. We propose to compute frequency decompositions of sample features, select informative frequency components by their variance across data batches, and aggregate the retained components into compact metadescriptors that summarize concept-specific spectral structure. The main contribution is a data-driven frequency-filtering metadescriptor that (1) reduces dimensionality while preserving semantic structure, (2) separates stream chunks into concept-specific clusters, and (3) supports visualization back in the original spatial domain. Expected outcomes include improved clustering and concept-identification metrics under gradual and abrupt drift, calibrated uncertainty estimates for spectral descriptors, and a reproducible benchmark suite for evaluation. The approach targets streaming settings with bounded latency and provides clear diagnostics to reveal regimes where frequency-based metadescriptors fail (e.g., impulsive infinite-variance noise or extremely rapid chirps).</w:t>
      </w:r>
    </w:p>
    <w:p>
      <w:r>
        <w:t xml:space="preserve"> </w:t>
      </w:r>
    </w:p>
    <w:p>
      <w:pPr>
        <w:pStyle w:val="Heading2"/>
      </w:pPr>
      <w:r>
        <w:t>Experiments</w:t>
      </w:r>
    </w:p>
    <w:p>
      <w:r>
        <w:t>Datasets: 1) Synthetic stream generator (seed=20260117) producing mixtures of AM/FM components, linear chirps, abrupt spectral jumps, impulses; parameters: SNR(dB)∈{0,3,6,10,20}, chirp-rate(Hz/s)∈{0,1,5,20}, noise families: Gaussian, Student-t(ν=3), symmetric alpha-stable(α=1.5); component counts ∈{1,2,3}; abrupt-shift times ∈{0.25,0.5,0.75}·duration. 2) PhysioNet EEG Motor Movement (preprocessed: 0.5–80 Hz, downsample 250 Hz). 3) MIT-BIH Arrhythmia ECG (0.5+ Hz high-pass, resample 250 Hz). 4) Case Western Reserve bearing vibration (demean, anti-alias, resample to 4 kHz). Baselines: A) clustering on raw feature vectors (k-means, spectral clustering), B) PCA or autoencoder dimensionality reduction + clustering, C) time-domain drift detectors with windowed statistics, D) three TF pipelines as algorithmic baselines (multitaper STFT + reassignment, synchrosqueezed CWT, sparse TF matching pursuit). Proposed method: variance-filtered frequency metadescriptor + clustering (e.g., agglomerative or DBSCAN). Evaluation metrics: clustering purity, adjusted Rand index (ARI), concept-identification F1, instantaneous frequency (IF) RMSE for extracted ridges, ridge detection F1, spectral MSE, 90% CI empirical coverage and mean CI width for spectral descriptors, processing latency (ms per chunk), memory per channel, and throughput (samples/sec). Experimental setup: chunk lengths L∈{256,1024,4096}, overlaps {25%,50%,75%}, multitaper NW∈{2,3,4} and K=floor(2NW)-1, bootstrap reps B∈{30,100}, trials per grid cell 500 for primary results and 2000 for final calibration; deterministic seeds and containerized runtime. Comparisons/ablations: (1) ablate variance-filter threshold percentiles (top 1%,5%,10%,20%) and number of retained frequency bins; (2) compare UQ methods: jackknife, block bootstrap, m-out-of-n bootstrap; (3) ablate chunk length and overlap to measure latency vs accuracy trade-offs; (4) multivariate ablation: single-channel vs 4/16-channel joint metadescriptors with Ledoit-Wolf vs low-rank+L1 regularization on cross-spectra. Report per-cell metrics with 95% bootstrap CIs and deterministic plots for scalograms with extracted ridges.</w:t>
      </w:r>
    </w:p>
    <w:p>
      <w:r>
        <w:t xml:space="preserve"> </w:t>
      </w:r>
    </w:p>
    <w:p>
      <w:pPr>
        <w:pStyle w:val="Heading2"/>
      </w:pPr>
      <w:r>
        <w:t>Risk Factors And Limitations</w:t>
      </w:r>
    </w:p>
    <w:p>
      <w:r>
        <w:t>Technical failure modes: variance filtering may discard low-variance but semantically important components, causing missed concepts; frequency-domain ridges can be smeared by rapid chirps exceeding window resolution. Data/evaluation biases: synthetic regimes may not capture real-world complexity, producing optimistic gains. Heavy tails and infinite-variance noise: Student-t with low degrees or alpha-stable noise can invalidate variance-based UQ and confidence intervals. Abrupt jumps and piecewise-stationarity: local stationarity assumptions (smooth spectral evolution) break and some UQ methods (stationary block bootstrap) become invalid. Scalability and compute: multitaper/bootstrap UQ and dense TF transforms increase CPU/GPU cost and memory in high-channel or low-latency settings. Hyperparameter sensitivity: window length, NW, variance-threshold, and bootstrap block length strongly affect results and require calibration per domain. Limits to generalization: method targets spectral concept structure and may fail for concepts defined only by non-spectral spatial patterns or semantic labels not reflected in feature spectra.</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