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mind_the_jumps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Robust local Gaussian process with sparsity-driven mean-shift for modeling multidimensional discontinuous response surfaces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a perspective transformation followed by adaptive nearest-neighbor local Gaussian processes combined with a sparsity-driven mean-shift robustification reduces boundary localization error and predictive root-mean-square error (RMSE) on discontinuous multidimensional response surfaces compared to standard global Gaussian processes and non-robust local-GP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include global Gaussian processes (GPs) that assume smoothness across the whole input space, local GP or k-nearest-neighbor GP variants that fit separate smooth models in neighborhoods, mixture-of-experts or partition models that split the input space, and robust estimators that downweight outliers (for example, mean-shift or L1-based methods). Multi-output modeling often uses linear model of coregionalization (LMC) to capture cross-output correlation. Sparse inducing-point approaches and variational inference improve scalability. Limitations: global GPs fail at sharp jumps because they smooth across discontinuities; simple local GPs can misassign points near boundaries and lack calibrated uncertainty about boundaries; soft-gating mixtures can blur true jumps; robust methods often act globally and do not exploit local structure; multi-output coregionalization can be unstable when region data are scarce; scalable inference for adaptive partitions with reliable uncertainty is incomplete.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learning multidimensional response surfaces that are smooth inside regions but have abrupt jumps and outliers at unknown boundaries. We propose a scalable framework that first applies a perspective transformation (a data-dependent scaling that makes jumps more detectable), then forms adaptive nearest-neighbor local Gaussian processes (local GPs) for each neighborhood, and finally applies a sparsity-driven mean-shift robustification to identify and downweight boundary-induced shifts and outliers. Key components: (1) perspective transformation to improve separability of regions; (2) adaptive neighborhood selection that chooses local data for each test point; (3) sparsity-promoting optimization (L1-style) to find mean shifts that explain abrupt jumps; (4) low-rank coregionalization for multi-output coupling. Perspective transformation means a simple re-scaling of input and output geometry to highlight discontinuities; mean-shift robustification means introducing per-point additive offsets that are regularized to be sparse. The main contribution is a principled, end-to-end pipeline that preserves calibrated uncertainty, scales via local sparsity and inducing points, and improves boundary localization and predictive accuracy on discontinuous surfaces.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Synthetic benchmark suite: inputs in d={2,3,5}, piecewise-smooth ground-truth surfaces with J∈{2,3,4} regions, boundary smoothness β∈{1,2}, margin δ∈{0.01,0.05,0.1}, jump magnitudes SNR levels {low, medium, high}, heteroscedastic noise increasing near boundaries; sample sizes n∈{2k,10k,50k}; 50 random seeds per cell. 2) Real data: sea-surface-temperature fronts (gridded 2D), multichannel material-defect images (2D with P channels), robotic contact force maps (input positions → multi-output forces). Baselines: (A) global GP with Matérn kernel; (B) kNN-local GP (fixed k); (C) mixture-of-experts with smooth gating; (D) local GP with ad-hoc outlier trimming. Metrics: predictive RMSE, negative log-likelihood (NLL), continuous ranked probability score (CRPS), boundary F1 (detection), Hausdorff distance (boundary localization), jump-magnitude estimation error (L2), calibration (empirical coverage at 50/90%), and runtime and peak GPU memory. Experimental setup: 5-fold train/validation/test splits for real data; for synthetic use separate train/val/test draws with fixed seeds. Model hyperparameters: inducing points per region m_i∈{40,80}, LMC rank r∈{1,3,5}, sparsity penalty λ grid (log-space 10^-4..10^0), soft-gating temperature annealing schedule from T=1.0 to T=0.01 over epochs. Inference: primary pipeline uses stochastic variational inference with amortized recognition for neighborhoods; secondary pipeline runs short RJMCMC chains initialized from VI modes for select experiments. Repeats: 10 independent runs per configuration for baselines and proposed method; report mean±95% bootstrap CI. Ablations: (i) with vs without perspective transformation; (ii) with vs without sparsity-driven mean-shift; (iii) soft vs hard gating; (iv) varying LMC rank r. Success criteria: statistically significant improvements (p&lt;0.05, paired test) in boundary F1 and reduced RMSE versus best baseline across medium and high SNR settings.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soft gating may blur true jumps when gating width exceeds boundary margin, causing biased boundary estimates; sparsity regularization may over- or under-shrink mean shifts if λ is mis-tuned. Data issues: scarce samples near boundaries reduce identifiability of region functions and worsen boundary localization. Scalability: per-region inducing-point cubic costs and multi-output correlations increase memory and runtime when many regions or high output dimension P occur. Inference risks: variational approximations can be biased and RJMCMC may mix poorly, especially for complex oblique or level-set partitions. Identifiability limits: low-rank coregionalization factors can be non-identifiable across regions when factors are similar, causing label-switching or slow mixing. Noise modeling: heteroscedastic (input-dependent) or correlated noise across outputs complicates σ(x) estimation and can propagate error into boundary localization. Generalization: methods tuned on synthetic benchmarks may not transfer without adaptation to real-world sampling patterns and measurement artifacts. Reproducibility: numerical instability (poor conditioning) can occur without careful jitter, whitening, and precision handling.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