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bridging_simulation_experiment_ssda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self-supervised domain adaptation framework using synthetic coda-wave simulations for concrete damage classification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Combining calibrated synthetic coda-wave data from a multiscale virtual testing platform with self-supervised domain adaptation (domain adversarial training, minimum class confusion loss, and BYOL) causes a statistically significant improvement in damage-classification accuracy on unlabeled experimental ultrasonic measurements compared to models trained on synthetic data alone.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fall into three groups: (1) physics-based simulation and synthetic-data generation for non-destructive evaluation (NDE), which produce large labeled datasets but suffer from the simulation-to-reality gap when applied to real sensor measurements; (2) domain adaptation methods (for example adversarial feature alignment and moment-matching) that reduce feature distribution mismatch but often assume simple, stationary domain shifts and lack calibrated sensor noise models; and (3) self-supervised representation learning (contrastive methods and BYOL) and pseudo-labeling that reduce label needs but can propagate errors without reliable uncertainty estimates. Limitations across prior work include: insufficient multimodal calibration of sensor forward models (so synthetic signals are not realistic enough), weak handling of spatial label uncertainty from registration, ad-hoc pseudo-label confidence weighting that can amplify mistakes, limited uncertainty quantification (UQ) for deployment decisions, and few studies that integrate calibrated simulators, CT-validated anchors, and joint adversarial+contrastive learning. These gaps motivate jointly calibrated simulation + self-supervised domain adaptation with explicit UQ.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transferring damage-classification models from labeled synthetic coda-wave data to unlabeled experimental ultrasonic measurements of concrete. Our approach combines a virtual testing platform that generates physics-informed, multiscale synthetic coda-wave signals with a self-supervised domain adaptation framework that uses domain-adversarial alignment, minimum class confusion loss, and BYOL (Bootstrap Your Own Latent, a self-supervised method that learns representations without labels). Main contributions are: (1) a pipeline that calibrates simulator sensor models using a small set of CT-validated specimens so synthetic signals reflect real noise and point-spread effects; (2) a multimodal self-supervised loss suite that fuses adversarial alignment and contrastive/bootstrapped learning to learn domain-invariant features; and (3) an uncertainty-aware CT-anchor acquisition and pseudo-labeling policy guided by ensemble mutual-information scoring. Expected outcomes are improved classification accuracy and calibrated predictive uncertainty on real ultrasonic data with far fewer CT labels, enabling practical non-destructive concrete damage detection using limited experimental labeling.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Synthetic: 100k synthetic coda-wave samples generated by the virtual testing platform sampling material heterogeneity, crack geometries, PSF and attenuation priors; (B) Experimental anchors: 20-30 fully CT-validated specimens (high-resolution CT masks, voxel size 10-50 microns) with synchronized ultrasonic, AE, IR, and optical records; (C) Experimental partials: 100-150 specimens with surface labels and AE events but no CT. Baselines: (1) Supervised-sim: model trained on synthetic only; (2) Supervised-anchors: model trained on CT anchors only; (3) DANN: domain-adversarial adaptation baseline; (4) BYOL-only: self-supervised pretraining on target unlabeled data then supervised on synthetic; (5) Pseudo-label: iterative pseudo-labeling without ensemble-weighting. Proposed method: calibrated-simulator + joint adversarial + min-class-confusion + BYOL + ensemble-weighted pseudo-labeling. Model and training: U-Net encoder-decoder backbone with classification head; AdamW optimizer, lr = 1e-4, batch size 12, epochs 100, seeds fixed; ensemble size K = 5 for MI and UQ. Evaluation metrics: classification accuracy, precision, recall, F1; IoU and Dice for localization; crack volume error (relative %); AE localization error (mm); Brier score and Expected Calibration Error (ECE). Numerical thresholds: target Brier &lt;= 0.10, ECE &lt;= 0.05. Experimental protocol: train each method 5 times with different seeds; report mean and 95% bootstrap CI. Ablations: (A) remove domain adversarial term; (B) remove minimum class confusion loss; (C) remove BYOL pretraining; (D) vary CT-anchor count {5,10,20,30}; (E) test alternate anchor selection: random vs MI-based greedy with DPP diversity (RBF kernel lengthscale l = 10 mm). Compute and scaling: measure wall-clock and GPU-hours; report MI scoring cost = O(K * N_candidates * inference_cost) and evaluate ROI subsampling heuristic by coarse-to-fine scoring. One comparison: compare ensemble-weighted pseudo-labeling to naive pseudo-labeling on partial set using same anchors.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Simulator–real mismatch: if sensor forward models or material priors are poorly calibrated, synthetic signals may not cover real variability and adaptation will fail. 2) Registration and label uncertainty: CT-to-surface registration errors can produce incorrect voxel labels; small or anisotropic Σ(x) estimates may understate true uncertainty. 3) Small-anchor regime: with fewer than ~20 CT anchors, calibration and CI estimates can be unstable; leave-one-out and Bayesian intervals must be used and will be wide. 4) Pseudo-label error amplification: pseudo-labeling without robust uncertainty weighting can lock models into wrong decisions. 5) Computational cost: MI scoring over large candidate pools and ensemble inference is expensive (K times inference); memory for per-voxel entropy maps can be large for high-res volumes. 6) Safety and logistics: CT access limits, scan cost, and radiation safety constraints can delay anchor acquisition. 7) Limited generalization: models trained on specific mix designs, curing states, or sensor setups may not generalize to different materials or measurement configurations. 8) Evaluation bias: relying only on CT anchors for calibration may bias methods toward anchor geometries; out-of-distribution scenarios require explicit testing.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