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End-to-end vision-driven quadrupedal locomotion via deep reinforcement learning with selective state-space MAMBA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proprioceptive states and depth image tokens with a stacked selective state-space MAMBA backbone and training the fused representation end-to-end with deep reinforcement learning causes higher robustness and better sample efficiency on long-horizon rough-terrain quadrupedal locomotion than policies trained without selective state-space fusion.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Three relevant streams exist. (1) Vision-driven locomotion with end-to-end reinforcement learning trains policies directly from images and proprioception but often suffers from sample inefficiency, short effective temporal horizon, and sensitivity to visual appearance and occlusions. (2) Cross-modal fusion approaches (simple concatenation, attention, or transformer-based fusion) combine visual and proprioceptive signals; transformer-style methods can model long context but have quadratic time/memory cost in token length and are sensitive to image resolution. (3) State-space models (SSMs) and recent selective SSM variants provide near-linear-time long-range temporal modeling (SSM = a model that scans sequential data efficiently to capture long dependencies), but they have seen limited application to cross-modal fusion for control. Gaps: existing vision-locomotion methods either (a) lack long-horizon foresight, (b) scale poorly with token length or image resolution, or (c) do not provide a principled selective scanning fusion that preserves modality structure while remaining efficient.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vision-driven quadrupedal locomotion by proposing an end-to-end deep reinforcement learning framework that fuses proprioceptive signals and depth images with a stacked selective state-space backbone called MAMBA (a selective scanning state-space model that processes tokens efficiently over long horizons). Proprioception is embedded with a small multi-layer perceptron and depth images are converted to spatial tokens by a convolutional encoder; stacked MAMBA layers then perform selective cross-modal scanning to produce a compact latent used by the control policy. This fusion yields long-horizon temporal context (foresight) with near-linear compute and memory scaling, reduces sensitivity to image appearance and resolution, and provides an inductive bias that regularizes learning. The main contribution is demonstrating that selective state-space fusion enables robust, efficient vision-driven locomotion control when trained end-to-end with reinforcement learning and domain randomization. Expected outcomes include improved sample efficiency, stronger robustness on unseen terrains and visual conditions, and a deployable latent representation suitable for real-time control.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simulated quadruped environments including (A) flat velocity track, (B) slope course ±15°, (C) Perlin-noise rough terrain, (D) obstacle field (random boxes and steps), and (E) occlusion corridor. Real hardware: tethered and untethered trials on a single quadruped platform for final sim-to-real validation. Baselines: (1) proprioception-only policy, (2) image-only DrQ-v2 style policy, (3) image+proprioception simple concatenation, (4) transformer-based fusion, (5) ablated MAMBA variants (no selective scanning, reduced stacks). Metrics: episodic success rate (binary), mean velocity error (m/s), energy per meter (J/m), foot-slip rate (slips/m), sample-efficiency curves (reward vs environment steps), robustness score (pre-registered composite), inference latency (ms), and failure counts. Experimental setup: per reported cell use N=5 independent seeds for nominal cells and N=8–10 for high-variance cells; full runs = 100M env steps per seed (triage runs 25–50M), checkpoints saved every 5M steps, evaluation episodes per checkpoint = 40 on held-out terrains. Statistical analysis: preregister mixed-effects model with fixed effect = method, random intercepts for seed nested within environment cell; report mean±std per seed, effect sizes, 95% CIs, and two-sided hypothesis tests with multiplicity control for primary comparisons. Ablations: (a) MAMBA on vs off, (b) CPC auxiliary loss on vs off (contrastive predictive coding; CPC = contrastive loss predicting future embeddings), (c) latent_dim ∈ {64,128,256}, (d) augmentation strength ∈ {low,medium,high}, (e) domain-randomization axes (textures, lighting, inertia, latency) varied independently. Sim-to-real validation: run system-identification to produce randomized parameter distributions, with N_real=20 withheld real trials for final validation and open-loop / closed-loop residual reporting.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learned policy may exploit reward hacks or produce oscillatory/chattering actuation; perception can fail under heavy occlusion or extreme lighting; selective SSMs may be sensitive to implementation details and numerical stability. Data and evaluation biases: withheld real trials may be unrepresentative if not sampled systematically; domain randomization that is not hardware-informed may give false confidence. Scalability and compute: full training (100M steps) requires substantial compute (hundreds of GPU-hours per seed) and may limit replication; larger image/token sizes increase memory and latency. Real-time deployment limits: end-to-end latency and jitter on target hardware may prevent closed-loop use if not within a tight budget. Generalization limits: improvements on simulated rough terrains may not fully transfer to novel real-world substrates or different robot morphologies. Reproducibility risks: many hyperparameters (augmentation strengths, reward weights, curriculum thresholds) create researcher degrees of freedom unless preregistered.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