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adapkooppc_mixed_traffic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human-driven and connected automated vehicle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learned linear Koopman embedding of heterogeneous human-driven vehicle behavior, when combined with model predictive control that uses uncertainty-based constraint tightening, will reduce speed and spacing variance in mixed traffic compared to conventional ACC/AV controllers at the same automated vehicle penetration rate.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falls into three main threads: (1) physics-based car-following and adaptive cruise control (ACC) models (for example IDM and Wiedemann) and classic linearized MPC for automated vehicles; (2) data-driven system identification and deep learning approaches that model nonlinear vehicle interactions but often lack control-ready linear structure or certified uncertainty; (3) Koopman-based and linear-embedding methods that map nonlinear dynamics into a linear predictor suitable for linear control. Limitations: physics-based models do not capture wide human heterogeneity and nonlinear responses; naive data-driven models can be hard to use inside predictive controllers because they are nonlinear, lack uncertainty quantification, or produce biased identified control matrices; prior Koopman methods often omit structured locality (neighbor coupling), do not provide calibrated probabilistic uncertainty for safe tightening, and lack finite-sample or closed-loop stability certificates. Robust MPC and tube-MPC approaches address uncertainty but have been applied with conservative or poorly calibrated model error bounds, and scalability to large platoons with real-time latency constraints remains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Traffic oscillations (stop-and-go waves) in mixed traffic with human-driven vehicles (HDVs) and connected automated vehicles (CAVs) degrade safety, comfort, and energy use. We propose an adaptive, data-driven control architecture that learns a linear predictor for heterogeneous HDV dynamics in a latent space using a deep Koopman encoder-decoder and embeds that predictor into a real-time model predictive controller (MPC). The learned predictor enforces structured locality so each vehicle model only couples to local neighbors, enabling scalable per-vehicle QPs. The learning pipeline produces calibrated epistemic uncertainty (via ensembles) that is propagated into identified A,B matrices and used to tighten safety constraints inside a tube-style MPC. Main contributions are (1) an adaptive deep Koopman identification with control-consistent loss and structured sparsity, (2) an uncertainty propagation recipe translating encoder/model variance into MPC constraint tightening, and (3) a testable integration demonstrating reduced speed/spacing variance while meeting real-time latency targets. Expected outcome: a scalable, provably conservative data-driven controller that attenuates oscillations in mixed traffic in simulation and on representative embedded hardware.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scenarios: (a) Synthetic ring-road with N={20,50} vehicles and leader perturbations; (b) Platoon highway scenarios with N={10,30} and mixed human-driver models: IDM, Wiedemann, and sampled heterogeneity in reaction time and braking gain; (c) Urban-style segment with stop-and-go signals; (d) Limited real driving data fine-tuning set (10–30 minutes). For each scenario include sensor noise, communication delay jitter up to 100 ms, and packet loss bursts. Baselines: (1) uncontrolled human drivers (no CAV control), (2) standard ACC/AV controller, (3) model-based linearized MPC (centered linearization around nominal spacing), (4) deep nonlinear predictive controller (end-to-end recurrent net MPC) without Koopman embedding. Proposed variants: full AdapKoopPC, AdapKoopPC without uncertainty tightening, AdapKoopPC with dense A/B (no sparsity), ensemble sizes M={1,5,10}. Evaluation metrics: speed variance, spacing variance, amplification ratio / string-gain (energy of spacing response per vehicle), fuel/energy proxy (integral of squared acceleration), collision count, constraint-violation rate, prediction interval coverage probability (PICP) for uncertainty calibration, MPC solve time distribution (median, 95th percentile), and QP feasibility rate. Experimental setup: run 30 randomized seeds per scenario and penetration level p={0.1,0.3,0.5}; MPC horizon T∈{5,10,15}; per-vehicle QP solved with OSQP on target hardware classes: ARM Cortex-A53 (baseline) and NVIDIA Jetson Xavier NX (high performance). Ablations: (A1) uncertainty tightening ON vs OFF; (A2) structured sparse A/B vs dense; (A3) ensemble size sweep M; (A4) horizon sweep T. Statistical tests: report mean and 95% confidence intervals; accept hypothesis if speed variance reduced by ≥20% relative to baseline ACC with no increase in collision count and PICP within Wilson CI for target coverage.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Embedding error: the learned Koopman encoder/decoder may not produce a sufficiently linear latent dynamic, causing identification bias that invalidates MPC guarantees. 2) Errors-in-variables: encoder noise and sensor noise can bias A/B estimation; ordinary least squares assumptions may not hold. 3) UQ miscalibration: ensembles or Bayesian approximations may under- or over-estimate uncertainty, causing unsafe under-tightening or overly conservative control. 4) Non-i.i.d. data: temporal dependence (mixing) in traffic data can break concentration bounds and finite-sample guarantees. 5) Computational limits: ensemble propagation plus QP solves may exceed real-time latency on low-power ECUs under worst-case loads. 6) Communication faults: delays and packet loss can invalidate neighbor coupling assumptions and degrade safety. 7) Generalization gap: models trained on simulated driver mixtures may not transfer to unseen vehicle types, driver behaviors, or road geometries. 8) Limited real data: sparse real-world data may be insufficient to calibrate rare but critical behaviors (hard braking). 9) Certification and safety standards: formal regulatory acceptance may require stronger proofs and extensive testing beyond simulation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