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hyperssn_state_space_hypergraph</w:t>
      </w:r>
    </w:p>
    <w:p>
      <w:r>
        <w:t xml:space="preserve"> </w:t>
      </w:r>
    </w:p>
    <w:p>
      <w:pPr>
        <w:pStyle w:val="Heading2"/>
      </w:pPr>
      <w:r>
        <w:t>Title</w:t>
      </w:r>
    </w:p>
    <w:p>
      <w:r>
        <w:t>HyperSSN: integrating state-space models with hypergraph neural networks for node classification</w:t>
      </w:r>
    </w:p>
    <w:p>
      <w:r>
        <w:t xml:space="preserve"> </w:t>
      </w:r>
    </w:p>
    <w:p>
      <w:pPr>
        <w:pStyle w:val="Heading2"/>
      </w:pPr>
      <w:r>
        <w:t>Short Hypothesis</w:t>
      </w:r>
    </w:p>
    <w:p>
      <w:r>
        <w:t>Integrating a compact state-space model (SSM) between incidence-based hypergraph message-passing steps and fusing role-based and adjacency-based embeddings via a learnable transformer-like module will improve node classification accuracy on hypergraph benchmarks compared to matched hypergraph GNNs without SSM under the same training conditions.</w:t>
      </w:r>
    </w:p>
    <w:p>
      <w:r>
        <w:t xml:space="preserve"> </w:t>
      </w:r>
    </w:p>
    <w:p>
      <w:pPr>
        <w:pStyle w:val="Heading2"/>
      </w:pPr>
      <w:r>
        <w:t>Related Work</w:t>
      </w:r>
    </w:p>
    <w:p>
      <w:r>
        <w:t>Prior work on hypergraph learning extends pairwise graph neural networks to higher-order relations using incidence-based convolutions, clique expansions, or set-function approaches. Methods such as HGNN, HyperGCN, AllSet, DHGNN, and HNHN implement hyperedge-aware message passing or hyperedge feature models. Separately, state-space models (SSMs) and S4-like kernels have been used to model long-range sequence dependencies efficiently by learning compact linear dynamical systems. Existing hypergraph GNNs have limitations: they either rely on shallow stacking to reach long-range mixing (leading to over-smoothing), use clique expansion that loses explicit hyperedge structure, lack explicit role-aware node descriptors (roles are coarse or absent), or provide limited spectral filter design for stable global mixing. Scalability and stable long-range parameterizations are also unresolved in many hypergraph methods, and most do not exploit compact SSMs as spectral mixers across propagation depth.</w:t>
      </w:r>
    </w:p>
    <w:p>
      <w:r>
        <w:t xml:space="preserve"> </w:t>
      </w:r>
    </w:p>
    <w:p>
      <w:pPr>
        <w:pStyle w:val="Heading2"/>
      </w:pPr>
      <w:r>
        <w:t>Abstract</w:t>
      </w:r>
    </w:p>
    <w:p>
      <w:r>
        <w:t>We address node classification on hypergraphs by combining incidence-based hypergraph convolutions with compact state-space models (SSMs) to capture long-range, higher-order interactions. Our approach uses role-aware node descriptors (features that encode node roles within hyperedges) and adjacency-based embeddings, fuses them through a learnable transformer-like module, and applies hypergraph convolution layers interleaved with a shared SSM acting as a spectral mixer across propagation steps. The SSM provides efficient global mixing without stacking many layers; hyperedge attention and residual links reduce over-smoothing. The main contributions are: (1) a modular HyperSSN layer family coupling incidence transforms with SSM spectral filters, (2) learnable fusion of role and adjacency embeddings, and (3) an evaluation suite showing how SSM capacity and normalization choices affect accuracy, stability, and robustness. We expect improved node classification accuracy and robustness on real and synthetic hypergraph benchmarks while maintaining parameter efficiency through shared SSMs.</w:t>
      </w:r>
    </w:p>
    <w:p>
      <w:r>
        <w:t xml:space="preserve"> </w:t>
      </w:r>
    </w:p>
    <w:p>
      <w:pPr>
        <w:pStyle w:val="Heading2"/>
      </w:pPr>
      <w:r>
        <w:t>Experiments</w:t>
      </w:r>
    </w:p>
    <w:p>
      <w:r>
        <w:t>Datasets: DBLP co-authorship hypergraph (nodes: authors, hyperedges: papers), 20News doc-word hypergraph (nodes: documents, hyperedges: words), biological complex hypergraphs (protein complexes), an e-commerce transactions hypergraph, and synthetic planted hypergraph stochastic block models (SBM) with tunable signal/noise. Baselines: HGNN, HyperGCN, AllSet, DHGNN, HNHN, and clique-expanded GCN/GAT/GraphSAGE (same feature inputs and training regime). Metrics: node classification accuracy, macro-F1, per-class F1, Expected Calibration Error (ECE), robustness under hyperedge deletion (accuracy vs. fraction removed), runtime (seconds/epoch), peak GPU memory (MiB), and eigenfilter localization (measure of spectral concentration; i.e., how learned filters concentrate energy in Laplacian eigenbands). Experimental setup: fixed seeds {0,42,123}, transductive split train/val/test = 10%/10%/80% and inductive split holding out 20% nodes+incident hyperedges for test; optimizer AdamW, lr grid {1e-3,5e-4,1e-4}, weight decay {1e-4,1e-5}, cosine LR schedule with 5-epoch warmup, early stopping on val accuracy with patience 20. Hyperparameters: SSM state sizes N_s ∈ {8,16,32,64}, layers ∈ {1,2,4}, attention heads ∈ {1,4}, dropout ∈ {0.0,0.1,0.3}. Ablations and comparisons: (A) SSM vs MLP vs GRU in place of SSM; (B) Node-centric vs Edge-centric vs Dual-stream SSM placement; (C) Normalization variants: mass-conserving, symmetric, none; (D) Hyperedge attention on/off; (E) Sampling thresholds for very large hyperedges (sample sizes S_s ∈ {32,128,full}). Run protocol: 3 independent runs per configuration, report mean ± std; use paired statistical tests (t-test and Wilcoxon) for comparisons.</w:t>
      </w:r>
    </w:p>
    <w:p>
      <w:r>
        <w:t xml:space="preserve"> </w:t>
      </w:r>
    </w:p>
    <w:p>
      <w:pPr>
        <w:pStyle w:val="Heading2"/>
      </w:pPr>
      <w:r>
        <w:t>Risk Factors And Limitations</w:t>
      </w:r>
    </w:p>
    <w:p>
      <w:r>
        <w:t>Technical stability: SSM parameterizations can become unstable if discretization or spectral radius constraints are mishandled, causing exploding or vanishing updates. Projection overhead: enforcing spectral constraints (power-iteration and rescaling) adds compute cost that may slow training. Memory and compute: dense SSMs with large state sizes (N_s) increase FLOPs and GPU memory; large hypergraphs with many memberships (high |I|) may exceed hardware limits. Large hyperedges: aggregating enormous hyperedges is costly and may require sampling that introduces bias and variance. Overfitting and leakage: per-entity (per-node or per-hyperedge) learned parameters risk memorizing training identities, hurting inductive generalization. Expressivity limits: spectral-filter claims may not hold in all graph regimes and could be matched by strong positional encodings or higher-order WL-like methods. Dataset bias and evaluation: public hypergraph datasets may not reflect all application domains, and synthetic SBM tasks may overfit designed advantages. Reproducibility: sparse backend differences (PyG, DGL, torch-sparse) and implementation choices can affect runtime and numerical behavior across platforms.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