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recurrence_changequantile_protection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based InceptionTime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protection pipeline that uses multi-channel recurrence plots, change-in-quantile features, ReliefF-selected quantile inputs, and an InceptionTime-based classifier with semi-supervised label spreading/propagation/self-training will detect and locate permanent faults on a transmission line segment connected to a photovoltaic plant with detection sensitivity ≥99%, false-trip rate ≤0.1%, mean detection latency ≤100 ms, and location error ≤5% of line length under the defined scenario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Deterministic relay methods (overcurrent, directional, distance) and simple threshold/CUSUM detectors are standard for line protection but degrade with low inverter fault current and waveform distortion. Time-series ML approaches (CNNs, InceptionTime variants) have shown strong classification for electrical events but are usually trained on grid-dominant conditions and raw waveforms, limiting performance under converter-induced harmonics and fast PV dynamics. Recurrence plots and recurrence quantification analysis (RQA) have been used to capture nonlinear signal structure for anomaly detection but prior work rarely adapts embedding/radius online or fuses multi-channel cross-recurrence with change-point quantile tests. Semi-supervised methods (label spreading/propagation, self-training) reduce label needs but prior protection studies lack rigorous HIL validation, adversarial robustness analysis, and latency/compute budgeting for relay-class hardware. Existing gaps: PV-specific datasets and scenarios, end-to-end latency analysis on relay SoCs/FPGAs, RP sparsification trade-off quantification, and adversary model specification.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fast, reliable protection of a transmission-line segment between a grid and a photovoltaic (PV) plant. We propose a pipeline that converts multi-channel high-resolution waveforms into adaptive recurrence plots (a 2D view of when a signal revisits past states) and extracts change-in-quantile features from recurrence-quantification metrics (RQA measures such as determinism and recurrence rate). The selected quantile features (ReliefF used as a simple feature selector) are fed to an InceptionTime-based classifier (a CNN ensemble tuned for time series) and fused with a semi-supervised anomaly module (label spreading/propagation/self-training) for label-scarce regimes. The main contribution is an end-to-end supervised + semi-supervised protection method tailored to PV dynamics that explicitly integrates RP parameter adaptation, change-quantile detection, feature selection, and deployment-aware latency budgets. Expected outcome: a system that reliably detects faults and identifies faulted phase and location under PV-induced distortions with low false trips and latency compatible with relay requirements.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EMT simulations (PSCAD/EMTDC or EMTP-style) of WSCC 9-bus and IEEE 39-bus topologies with PV plants modeled across inverter families and control modes (grid-forming and grid-following); (2) HIL runs with real inverter controllers and relay-class SoC/FPGA; (3) available field event records if present. Generate at least ~100k events total with labels: fault type, location (% line), impedance, inception angle, PV state, inverter model, and label confidence. Sampling and windows: waveform sampling 4 kS/s (≈80 samples/cycle at 50 Hz) for RP; short detection windows 0.5–2 cycles; long context windows up to 5 s for semi-supervised processing. Baselines: (A) deterministic relays: overcurrent, directional, distance; (B) classic CUSUM change-quantile on phase currents; (C) InceptionTime on raw waveforms (no RP); (D) RQA + threshold rules. Evaluation metrics: detection sensitivity (TPR), false-trip rate (FPR), mean and 95th-percentile detection latency, fault-location error (MAE in % of line), ROC and precision-recall curves with 95% bootstrap confidence intervals, per-topology and per-PV-penetration strata. Training and splits: event-level stratified splits 70% train / 15% val / 15% test; reserve at least one unseen topology + field events as final holdout. Ablations: (1) RP sparsification sweep varying k neighbor storage (k ∈ {4,8,16,32}) and buffer sizes, report TPR/FPR/latency trade-offs; (2) remove change-quantile features vs keep; (3) ReliefF-selected quantiles vs all quantiles; (4) supervised-only vs semi-supervised variants (label spreading, label propagation, self-training); (5) quantization-aware training and 8-bit inference vs float32. Adversarial robustness: white-box PGD (projected gradient descent) attacks and black-box CMA-ES attacks on waveform inputs with budgets L2 ≤ 0.05·||I_nom|| and L_inf ≤ 0.05·I_peak (5% of peak), iterations up to 100; measure minimum perturbation that causes false trip. Hardware &amp; latency tests: measure per-module worst-case timings on representative platforms (ARM Cortex-A53 SoC, Intel i7, Xilinx Zynq UltraScale+), include OS jitter injection (periodic jitter up to ±2 ms), and bit-true quantized inference checks. Hyperparameter search: Bayesian optimization budget 200 trials, reproducible seeds {42,123,999}, report final configs and ablation results. Statistical reporting: present ROC/PR with 95% CI per topology and PV-penetration strata and McNemar tests for baseline comparisons (α=0.05).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Low-fault-current failure modes: inverter current limiting can reduce signatures and cause missed detections. CT/PT nonidealities: saturation or calibration errors distort RPs and quantile tests. Dataset bias: heavy reliance on synthetic EMT data risks mismatch to field events and overfitting to simulated inverter models. Class imbalance: rare high-impedance or near-PV faults may remain underrepresented, harming TPR for those classes. RP sparsification: reducing RP storage (k small) may speed up inference but can degrade detection accuracy—trade-offs must be quantified. Compute limits: relay-class SoCs may not meet latency targets without compression or FPGA acceleration. Synchronization issues: clock drift, asynchronous samples, and missing data complicate embedding and RP construction. Adversarial threats: crafted perturbations within attack budgets may induce false trips unless explicitly guarded. Regulatory acceptance: meeting formal certification requires traceable datasets, HIL evidence, and formal verification of safety gates which are nontrivial to produce. Generalization limit: method tuned on WSCC/IEEE39 topologies may not transfer to vastly different networks without retraining.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