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gnn_aclp</w:t>
      </w:r>
    </w:p>
    <w:p>
      <w:r>
        <w:t xml:space="preserve"> </w:t>
      </w:r>
    </w:p>
    <w:p>
      <w:pPr>
        <w:pStyle w:val="Heading2"/>
      </w:pPr>
      <w:r>
        <w:t>Title</w:t>
      </w:r>
    </w:p>
    <w:p>
      <w:r>
        <w:t>Graph-neural-network based port-level link prediction for analog circuits using subgraph learning, LLM-assisted netlist conversion, and contrastive pretraining</w:t>
      </w:r>
    </w:p>
    <w:p>
      <w:r>
        <w:t xml:space="preserve"> </w:t>
      </w:r>
    </w:p>
    <w:p>
      <w:pPr>
        <w:pStyle w:val="Heading2"/>
      </w:pPr>
      <w:r>
        <w:t>Short Hypothesis</w:t>
      </w:r>
    </w:p>
    <w:p>
      <w:r>
        <w:t>Training a SEAL-style subgraph GNN on netlists converted by an LLM-based Netlist Babel Fish and contrastively pretraining the encoder will increase ROC-AUC for port-level link prediction by at least 0.02 and reduce mean Δgain prediction error by at least 10% versus a baseline GCN on the SpiceNetlist dataset.</w:t>
      </w:r>
    </w:p>
    <w:p>
      <w:r>
        <w:t xml:space="preserve"> </w:t>
      </w:r>
    </w:p>
    <w:p>
      <w:pPr>
        <w:pStyle w:val="Heading2"/>
      </w:pPr>
      <w:r>
        <w:t>Related Work</w:t>
      </w:r>
    </w:p>
    <w:p>
      <w:r>
        <w:t>Prior work applies graph neural networks (GNNs) to circuit tasks using whole-graph message passing, edge-conditioned updates, and subgraph methods like SEAL for link prediction. Other efforts focus on scalable pipelines, probabilistic labels for uncertain links, contrastive pretraining to improve representations, and calibration techniques for model uncertainty. Limitations remain: whole-graph GNNs often miss fine-grained port semantics and motifs (bias nets, mirrors, cascodes); many pipelines assume consistent netlist formats and fail across vendor dialects; datasets are small or lack electrical ground-truth (simulation-driven labels across PVT); uncertainty treatments frequently conflate aleatoric and epistemic sources and lack OOD calibration; evaluation rarely reports domain-impact metrics (gain, phase margin, offset) per link type. These gaps reduce reliability of automatic link prediction in analog design.</w:t>
      </w:r>
    </w:p>
    <w:p>
      <w:r>
        <w:t xml:space="preserve"> </w:t>
      </w:r>
    </w:p>
    <w:p>
      <w:pPr>
        <w:pStyle w:val="Heading2"/>
      </w:pPr>
      <w:r>
        <w:t>Abstract</w:t>
      </w:r>
    </w:p>
    <w:p>
      <w:r>
        <w:t>We address port-level link prediction in analog circuit netlists by combining subgraph-based graph neural networks, an LLM-powered netlist format converter, and simulation-grounded labels. The method extracts local subgraphs around candidate port pairs and encodes node, net, and parasitic features with a SEAL-style encoder; netlists from multiple vendors are normalized by Netlist Babel Fish, which uses a retrieval-augmented large language model to produce consistent graph inputs. The encoder is contrastively pretrained (InfoNCE) on augmented subgraphs and then fine-tuned with simulation-derived probabilistic labels that reflect PVT (process, voltage, temperature) sweeps. Main contributions are: (1) an end-to-end pipeline combining subgraph GNNs and LLM-format conversion for robust multi-dialect netlist handling, (2) probabilistic, simulation-driven labeling and evaluation that report both classification and domain-impact metrics, and (3) an empirical study on the SpiceNetlist dataset showing improved link classification and reduced domain metric error. Expected outcome: more accurate, better-calibrated link predictions that map to measurable electrical effects.</w:t>
      </w:r>
    </w:p>
    <w:p>
      <w:r>
        <w:t xml:space="preserve"> </w:t>
      </w:r>
    </w:p>
    <w:p>
      <w:pPr>
        <w:pStyle w:val="Heading2"/>
      </w:pPr>
      <w:r>
        <w:t>Experiments</w:t>
      </w:r>
    </w:p>
    <w:p>
      <w:r>
        <w:t>Datasets: use SpiceNetlist (775 annotated circuits across 7 families and 10 component classes). Augment with synthesized variants by resizing devices (±10–50%), injecting parasitics, and PVT sampling: 5 log-spaced bias points, temperatures {-40,25,125}°C, corners {TT,FF,SS,FS,SF}. Partition by family: train 70%, val 15%, test 15%; hold out 2 families for OOD transfer. Baselines: GCN, GIN, GraphSAGE, Edge-conditioned MPNN, SEAL (original), and a rule-based heuristic (netname overlap + proximity). Core model: SEAL-style subgraph encoder (subgraph extraction radius r ∈ {1,2,4}), edge-conditioned attention, multi-task head predicting link existence and link type. Netlist conversion: Netlist Babel Fish pipeline applied to all raw netlists. Pretraining: contrastive InfoNCE with MoCo-style queue length 65536, batch size 512 (or distributed equivalent), LR 1e-3 cosine decay, 100 epochs; augmentations: node feature masking 10–30%, edge dropout 10–30%, sizing perturbation ±10%, parasitic noise injection. Fine-tuning: focal loss with inverse prevalence weighting, batch size 128, LR 1e-4, up to 100 epochs, early stopping on val ROC-AUC. Evaluation metrics: per-link-type precision, recall, F1, ROC-AUC, PR-AUC; calibration: ECE (expected calibration error); uncertainty: entropy, Brier score; domain-impact: mean Δgain, mean Δphase-margin (ΔPM), mean Δoffset after removing predicted links. Uncertainty methods comparison: MC-dropout (50 samples), deep ensembles (5 seeds), and Bayesian last-layer; report aleatoric vs epistemic proxies (variance across PVT vs model ensemble variance). SPICE runtime profiling: stratify circuits by device count small (&lt;100), medium (100–500), large (&gt;500); run 25 candidates × 3 circuits per class to measure per-candidate mean and P95 wall time and variance. Fallback tests: evaluate surrogate simulator trained to predict label deltas and compare label accuracy when used for 10% or 30% of heavy candidates. Ablations: (A) remove parasitic features, (B) remove hierarchy/block features, (C) remove contrastive pretraining, (D) vary radius r, (E) negative-sampling strategy: random vs hard vs adversarial, (F) rail-aware coarsening on/off. Statistical tests and power: report paired bootstrap 95% CIs (1000 resamples) for ROC-AUC and domain metrics; require ≥1000 positive labels per link type to claim detection of ΔAUC=0.02 with narrow CI; report sample-size tables used. Cross-family generalization: evaluate on held-out families and measure relative drop in metrics; declare 'family-robust' if relative ROC-AUC drop ≤5% and domain metrics degrade ≤5%. Human-in-loop: measure adjudication load by flagging candidates with label probability p ∈ [0.2,0.8] and report reviewer throughput and SLA.</w:t>
      </w:r>
    </w:p>
    <w:p>
      <w:r>
        <w:t xml:space="preserve"> </w:t>
      </w:r>
    </w:p>
    <w:p>
      <w:pPr>
        <w:pStyle w:val="Heading2"/>
      </w:pPr>
      <w:r>
        <w:t>Risk Factors And Limitations</w:t>
      </w:r>
    </w:p>
    <w:p>
      <w:r>
        <w:t>Technical failure modes: SPICE simulations may not converge for some topologies, producing missing or noisy labels; SEAL-style subgraphs may omit distant but electrically critical nodes, causing missed links. Data biases: SpiceNetlist may under-represent rare families or extreme PVT corners, limiting transfer to unseen designs. Scalability and compute: SPICE-based labeling is expensive; P95 runtime for large circuits may exceed allotted cluster time, increasing cost. Uncertainty limits: separating aleatoric (intrinsic variability) from epistemic (model ignorance) may be imperfect; ensemble methods increase compute. Coarsening risks: rail-aware contraction can remove taps that change electrical behavior in edge cases. Contrastive pretraining constraints: large-batch or large-queue settings may be infeasible on limited hardware, reducing pretrain gains. Evaluation limits: domain-impact metrics (Δgain, ΔPM) depend on simulation fidelity and parasitic models; results may not generalize to post-layout designs. Human review scaling: adjudication throughput may bottleneck labeling if many borderline cases appear.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