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ai_for_hpc_ops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Telemetry-driven AI models for scheduling, I/O, power, and fault-tolerance optimization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telemetry-driven AI models that produce runtime/resource predictions and ranked control actions will reduce cluster makespan by at least 5% relative to a FIFO+backfill baseline under representative mixed HPC workloads.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machine learning and optimization to individual HPC concerns: runtime prediction and job placement, I/O prefetching and striping heuristics, power/thermal control via model predictive control or learned policies, surrogate models for expensive performance tests, anomaly detection for hardware faults, and language-model-based automation for operational tasks. Limitations in existing approaches include: (1) narrow scope — solutions usually target one subsystem (e.g., only scheduling or only I/O) rather than coordinated control across scheduler, storage, and power; (2) weak uncertainty handling — many systems return point estimates without calibrated confidence or prediction intervals, limiting safe automation; (3) insufficient system APIs and integration primitives for real deployment (few provide rate-limited actuation, audit logs, or scheduler plugin hooks); (4) poor reproducibility and benchmarking — missing shared high-fidelity telemetry datasets and standard evaluation protocols; (5) limited robustness — few works evaluate domain shift, poisoning attacks, or DP-compliant telemetry sharing. These gaps hinder safe, transferable adoption of AI control in production HPC.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telemetry-driven artificial intelligence can be used to improve operational efficiency across scheduling, I/O, power, and fault tolerance in high-performance computing (HPC) clusters. Our approach trains models on multi-resolution telemetry (job metadata, 1 s utilization, sub-second I/O/network traces, power/BMC logs, hardware events) to produce calibrated runtime/resource forecasts and ranked corrective actions. The core contribution is a unified, testable pipeline that couples prediction, uncertainty quantification, and constrained actuation via simple plugin APIs (scheduler, storage control, BMC) and a phased deployment model (shadow → canary → automated). We provide a reproducible experimental plan: shared historical traces, a synthetic trace generator that preserves cross-feature correlations, and an evaluation suite measuring makespan, p95 waiting and I/O latency, energy, anomaly precision/recall, and calibration metrics. Expected outcome: measurable reductions in makespan and p95 latencies with bounded energy improvements and quantified safety guarantees from uncertainty-aware gating. The work targets practical integration requirements (telemetry schemas, latency budgets, audit logs) to enable safe validation on instrumented testbeds.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Historical cluster traces: 90 days of labeled job metadata and telemetry from an instrumented 16–64 node testbed covering workload classes: regular MPI batch, GPU ML, short-latency interactive, checkpoint-heavy I/O. Sampling rates: CPU/GPU util 1 s, per-process I/O 100–500 ms for hotspots, network/I/O latencies 100–500 ms, power/BMC 1 s, event streams (SMART/kernel) as event logs. (2) Synthetic traces: hybrid generator (bootstrap arrivals + copula sampling + transformer sequence generator) with seeded fault injection. Baselines: FIFO+backfill scheduler, DRF (dominant resource fairness), static file-striping + LRU cache, threshold-based DVFS, rule-based anomaly detectors. Metrics: makespan, job turnaround time, p50/p95 waiting time, p95 I/O latency, cluster energy (kWh), anomaly precision/recall/F1, calibration ECE (expected calibration error), prediction interval (PI) width, rollback frequency. Experimental setup: train models on first 60 days, validate on next 15 days, test on final 15 days and on synthetic OOD traces. Deploy in three modes: shadow (non-actuating), canary (5–10% jobs/nodes actuated), automated (full) after passing safety gates. Statistical tests: pre-register hypotheses; use paired t-test or Wilcoxon (α=0.05, power=0.8) for primary metrics; report CIs and effect sizes. Ablation: compare full pipeline (prediction + UQ + ranked actions) versus (a) predictions without UQ, (b) UQ but no ranked actions, (c) actions without calibration; measure impact on safety gates and rollback. Power calculation example: detect 10% reduction in p95 I/O latency. Let baseline p95 = 120 ms, day-to-day standard deviation σ = 30 ms, effect δ = 12 ms (10%). Required paired sample size n = ((Z_{1-α/2}+Z_{1-β}) * σ / δ)^2 where Z_{1-α/2}=1.96 and Z_{1-β}=0.84. Compute n = ((1.96+0.84)*30/12)^2 = (2.8*2.5)^2 = 7^2 = 49 paired days. Sensitivity: if σ=40 ms then n≈88; if σ=20 ms then n≈22. Reporting: publish data splits, seeds, feature-store versions, model checkpoints, and canned experiment scripts for replay.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miscalibrated uncertainties causing unsafe actuations, cascading oscillations from frequent control changes, misattribution of job resource usage, and missed detections for rare hardware faults. Data/evaluation biases: historical traces may underrepresent rare bursts, new accelerators, or tenant-specific behavior, reducing generalization. Scalability and compute limits: high-fidelity telemetry (sub-second) increases network and storage costs and may limit long-term retention; large ensembles or transformers for UQ require nontrivial GPU budgets. Limits to generalization: models trained on one cluster or workload mix may degrade on other clusters (domain shift), especially with heterogeneous hardware or scheduler configurations. Security and privacy risks: telemetry can leak sensitive job metadata; models are vulnerable to data or model poisoning attacks if ingestion is not authenticated. Operational constraints: operator trust and human-in-the-loop latency may limit the fraction of automated actions; some safety-critical interventions will remain manual. Evaluation constraints: detecting improvements at small effect sizes (e.g., &lt;5% makespan) requires large sample sizes and careful statistical control, increasing experiment duration.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