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a variational quantum circuit (VQC) module into the LSTM+attention pipeline (either as an input feature map or as the attention scorer) causes a ≥10% relative reduction in fold-averaged RMSE of log10(permeability) under leave-one-well-out or facies-block cross-validation versus the best capacity-matched classical baseline.</w:t>
      </w:r>
    </w:p>
    <w:p>
      <w:r>
        <w:t xml:space="preserve"> </w:t>
      </w:r>
    </w:p>
    <w:p>
      <w:pPr>
        <w:pStyle w:val="Heading2"/>
      </w:pPr>
      <w:r>
        <w:t>Related Work</w:t>
      </w:r>
    </w:p>
    <w:p>
      <w:r>
        <w:t>Classical sequence models with attention (LSTM+attention) are used for spatial and well-log permeability prediction but can struggle to capture complex nonlocal spatial correlations. Hybrid quantum-classical approaches insert small variational quantum circuits (VQCs) as feature maps or replacers for classical submodules; prior work reports improved representational richness on small problems. Limitations in existing work include: evaluations at small scale or only on simulators, sensitivity to quantum noise, lack of parameter-matched classical controls, weak spatial cross-validation practices for geoscience data, and limited translation of RMSE gains to reservoir-impact metrics. Reproducibility and rigorous power analysis are often missing, and hardware-aware resource accounting (shots, gate counts, mapping to device topology) is not consistently reported.</w:t>
      </w:r>
    </w:p>
    <w:p>
      <w:r>
        <w:t xml:space="preserve"> </w:t>
      </w:r>
    </w:p>
    <w:p>
      <w:pPr>
        <w:pStyle w:val="Heading2"/>
      </w:pPr>
      <w:r>
        <w:t>Abstract</w:t>
      </w:r>
    </w:p>
    <w:p>
      <w:r>
        <w:t>We address spatial prediction of reservoir permeability (log10(k)) by integrating small variational quantum circuits (VQCs) into an LSTM with attention to form a hybrid quantum-classical model. The VQC modules act either as learned quantum feature maps appended to LSTM inputs or as a quantum attention primitive that scores key-query similarity. Technical choices prioritize near-term hardware: angle encoding with data re-uploading (to map features into qubit rotations), shallow hardware-efficient ansatz (depth ≤3), and 4–8 qubit configurations. The main contribution is an end-to-end experimental protocol that tests whether quantum modules improve predictive accuracy and uncertainty on realistic well-log and seismic feature sets under spatially aware cross-validation. Expected outcomes are: empirical measures of predictive error (RMSE/MAE on log10(k)), uncertainty calibration, ablations over qubit counts and gate configurations (shared vs independent gates), and a numeric translation of any accuracy gains into reservoir-impact metrics via Monte Carlo flow simulations. This work produces reproducible pipelines, parameter-matched classical controls, and explicit device budgets for NISQ execution.</w:t>
      </w:r>
    </w:p>
    <w:p>
      <w:r>
        <w:t xml:space="preserve"> </w:t>
      </w:r>
    </w:p>
    <w:p>
      <w:pPr>
        <w:pStyle w:val="Heading2"/>
      </w:pPr>
      <w:r>
        <w:t>Experiments</w:t>
      </w:r>
    </w:p>
    <w:p>
      <w:r>
        <w:t>Datasets: real field well logs (porosity, resistivity, gamma ray, density, sonic, neutron), core-measured permeability (k), seismic-derived attributes, facies maps; synthetic permeability fields calibrated to field statistics for pretraining. Preprocessing: normalize inputs, derive petrophysical proxies, compress to 6–12 features per grid cell using PCA or small autoencoder. Target: log10(k) per cell. Cross-validation: primary LOWO (leave-one-well-out) when ≤20 wells; otherwise 5–10 facies-aware spatial blocks selected using variogram/semivariogram plateau; report Moran’s I and within/between semivariance diagnostics per fold. Primary endpoint: fold-averaged RMSE(log10 k). Statistical test: paired two-sided t-test (α=0.05) on fold-averaged RMSE with Wilcoxon/bootstrapped CI fallback if normality fails; multiplicity: primary unadjusted, secondaries corrected by Benjamini–Hochberg FDR=0.05. Baselines: (A) classical LSTM depth=2, hidden=128, 1 dense output, optimizer=Adam, LR schedule=cosine decay from 1e-3 to 1e-5, weight decay=1e-5; (B) LSTM+classical attention (single-head additive attention); Parameter-matched controls: extra attention heads, MLP projection matching VQC parameter counts, and random-projection control. Hybrid variants: VQC-as-embedding and VQC-attention scorer with two gate configs: shared-gates and independent-gates. VQC hyperparameters: qubits ∈ {4,6,8}, depth d ∈ {1,2,3}, parameterized rotations (Rx,Ry) and nearest-neighbor entanglers; encoding: angle encoding with re-uploading layers. Training: hybrid gradients via parameter-shift on simulators (PennyLane/Qiskit), fallback SPSA on noisy hardware; seeds: 5 random seeds × 3 restarts per configuration (~75–150 runs per configuration). Shot policy: start 256 shots, increase to 1024 when empirical gradient SNR &lt; 2 for three consecutive updates; switch to SPSA when SNR persistently low. Hardware validation: limited fine-tuning on IBM ibmq_mumbai with ≤200 gradient steps and 1k–2k shots per expectation. Metrics: RMSE and MAE on log10(k), CRPS, PI coverage (68%/95%), calibration curves, Cohen’s d, paired p-values, volumetric/flow impact via Monte Carlo reservoir simulations (N=50–100 realizations) to map Δlog10(k) to flow/NPV changes. Ablations: qubit count, depth, shared vs independent gates, encoding method (angle vs re-uploading varieties), quantum vs classical attention, frozen vs end-to-end quantum parameter training. Reproducibility: publish code, seed lists, container image hash, dataset manifest or synthetic generator, MLflow logs, and one-command experiment reproduction script.</w:t>
      </w:r>
    </w:p>
    <w:p>
      <w:r>
        <w:t xml:space="preserve"> </w:t>
      </w:r>
    </w:p>
    <w:p>
      <w:pPr>
        <w:pStyle w:val="Heading2"/>
      </w:pPr>
      <w:r>
        <w:t>Risk Factors And Limitations</w:t>
      </w:r>
    </w:p>
    <w:p>
      <w:r>
        <w:t>Quantum noise and hardware errors (gate errors, decoherence, readout error) may erase any representational advantage of VQCs; shallow ansatz may be insufficient to capture needed complexity. Barren-plateau phenomena (vanishing gradients) can impede VQC training for larger qubit counts. Shot-noise and high shot budgets make hardware training expensive and slow; running full training on hardware may be infeasible in wall-clock time. Small or spatially correlated datasets limit statistical power and can inflate type I/II errors; LOWO folds may not be independent if block sizes are poorly chosen. Mapping to device topology (need for SWAPs) increases two-qubit gates and errors. Translation of modest RMSE gains into economically material reservoir decisions may be nonlinear and uncertain—Monte Carlo transfer may not capture all reservoir physics. Results may not generalize across basins with different geology or facies distributions. Reproducibility depends on access to sensitive field data and on exact device calibration snapshots, which may be unavailable or time-varying.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