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rural_fb_cancer_prevention_pilot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pilot evaluation of a co-created, Facebook-delivered, theory-based web intervention to reduce multiple cancer risk behaviors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a co-created, Facebook-delivered web intervention grounded in COM-B and stage-matching (Transtheoretical Model) will produce a measurable reduction in aggregate cancer risk behaviors (tobacco/vaping, risky alcohol use, low sun protection, incomplete HPV vaccination, missed preventive visits) at 6 weeks post-enrollment compared to each participant's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Digital behavior-change interventions for young adults have used theory-driven techniques (COM-B: capability/opportunity/motivation; TTM: stage of change) and single-behavior targets (e.g., smoking cessation or sun protection). Social-media delivery (including Facebook groups) has been tested for engagement but often shows low sustained use and limited tailoring. Multi-behavior interventions exist but typically treat behaviors separately, lack stage-matching, or do not co-create content with target users. Rural-focused interventions are scarce; those that exist report connectivity challenges, limited objective outcome verification (e.g., vaccination records), and weak fidelity measurement. Existing work therefore leaves open how a co-created, stage-matched, multi-behavior digital program delivered via private Facebook groups will perform in rural emerging adults, especially with rigorous fidelity, objective HPV ascertainment, and mixed-methods explanation of mechanisms.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(ages 18–25) face multiple modifiable cancer risk factors but have limited access to tailored prevention programs. We propose a mixed-methods pilot of a co-created, theory-based web intervention delivered via private Facebook groups to reduce tobacco/vaping, risky alcohol, inadequate sun protection, incomplete HPV vaccination, and missed preventive visits. The intervention will use COM-B mapping to identify capability/opportunity/motivation barriers and Transtheoretical Model stage-matching to tailor behavior-change techniques (BCTs) such as personalized feedback, goal setting, skills demonstrations, reminders, and social support. Primary contribution: an integrated, low-bandwidth, community-engaged digital package with precise event-logging for BCT exposure and a reproducible analytic framework combining frequentist and Bayesian estimation. Expected outcome: feasibility metrics and preliminary effect-size estimates that show whether the intervention produces meaningful short-term reductions in aggregated risk behaviors and sufficient engagement/fidelity to justify a larger trial. Qualitative exit interviews will explain engagement patterns and contextual barriers unique to rural emerging adults.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Study design: single-arm mixed-methods pilot (N=50 rural emerging adults, ages 18–25) with pre-post measurement at baseline and 6 weeks; embedded randomized A/B sub-study (stage-matched content vs generic content) and an engagement ablation (badges/incentives ON vs OFF randomized) within the pilot. Recruitment and sample: eligibility = self-identified rural residence, age 18–25, English literate, Facebook access (mobile or web); target N=50 enrolled within 12 weeks. Primary dataset: participant survey data + system event logs + IIS vaccination linkage when consented + exit interview transcripts. Measures and instruments: alcohol = AUDIT-C (full AUDIT if screening positive); nicotine/vaping = adapted past-30-day use items + FTND/PSECDI for dependence; sun protection = Sun Protection Behavior Scale (frequency items); HPV = self-report of doses/dates and IIS verification when possible; preventive visits = BRFSS-aligned items. Engagement logs: module enter/exit, video_view percent, micro-lesson time, action_plan_create, reminder_click, offline_sync_flag. Baselines: (1) within-subject pre-post change; (2) randomized A/B comparison (stage-matched n≈25 vs generic n≈25) for effect on primary outcomes; (3) ablation: badges ON vs OFF (balanced across A/B). Evaluation metrics: primary = change in composite standardized risk score (z-score combining continuous measures) and separate outcomes: Cohen’s d for continuous scores, risk difference and odds ratio for binary outcomes (HPV initiation). Feasibility metrics = recruitment rate, retention at 6 weeks, dose_received (% participants completing ≥70% core modules), facilitator fidelity (% adherence on 10-item checklist), SUS (usability) score. Statistical analysis: paired t-tests and McNemar tests for simple pre-post comparisons; mixed-effects models (repeated measures with random intercept for participant, fixed effect for time and randomized arm) to estimate within-subject change and arm differences; report effect sizes and 95% CIs. Bayesian analysis: weakly informative prior Normal(0,0.5) on standardized effects, half-Cauchy(0,1) for SDs; MCMC in Stan with 4 chains, 1000 warmup + 1000 sampling iterations; report posterior Pr(d≥0.30) and 95% credible intervals. Missing data and sensitivity: multiple imputation with 20 imputations (MAR assumption) and pattern-mixture MNAR grid with delta shifts {0, ±0.2, ±0.5} SD; perform tipping-point assessment. Ablation/comparisons: (A) stage-matched vs generic content effect on primary composite; (B) badges ON vs OFF effect on dose_received and module completion; (C) per-protocol analysis including participants meeting dose_received threshold. Reporting: tabulate engagement-event-derived fidelity counts (BCT exposure counts) and produce joint displays linking quantitative exposure to qualitative themes.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and engagement risks: intermittent connectivity in rural areas may produce missing event logs and reduce dose_received; Facebook platform policy changes may disrupt delivery. Measurement biases: self-report of behaviors (especially HPV and substance use) can be inaccurate; IIS linkage may be unavailable or incomplete for some participants. Small sample and precision limits: N=50 yields wide confidence intervals and imprecise effect estimates (pilot purpose is estimation, not confirmation). Statistical issues: small cluster counts (e.g., facilitator groups) may complicate mixed-effects estimation; Bayesian results depend on prior choices. Missing data risks: outcomes missing &gt;5% may challenge MAR assumptions and make MNAR scenarios plausible. Generalizability: findings may not extend beyond rural emerging adults on Facebook or to older age groups. Fidelity and contamination: peer interactions in Facebook groups may vary and cause uneven BCT exposure; control of cross-participant contamination is limited. Ethical and privacy constraints: IIS linkage requires consent and local agreements; data security and de-identification reduce some analytic detail. Scalability limits: reliance on human facilitation or coaching scripts may limit scaling without automation. Computational limits: Bayesian MCMC for small samples can be computationally heavy and sensitive to model specification (convergence and diagnostic needs).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