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a2a_cp_hydrocephalus</w:t>
      </w:r>
    </w:p>
    <w:p>
      <w:r>
        <w:t xml:space="preserve"> </w:t>
      </w:r>
    </w:p>
    <w:p>
      <w:pPr>
        <w:pStyle w:val="Heading2"/>
      </w:pPr>
      <w:r>
        <w:t>Title</w:t>
      </w:r>
    </w:p>
    <w:p>
      <w:r>
        <w:t>Modulation of adenosine A2A receptor signaling in the choroid plexus to reduce cerebrospinal fluid hypersecretion and ventriculomegaly in hydrocephalus</w:t>
      </w:r>
    </w:p>
    <w:p>
      <w:r>
        <w:t xml:space="preserve"> </w:t>
      </w:r>
    </w:p>
    <w:p>
      <w:pPr>
        <w:pStyle w:val="Heading2"/>
      </w:pPr>
      <w:r>
        <w:t>Short Hypothesis</w:t>
      </w:r>
    </w:p>
    <w:p>
      <w:r>
        <w:t>Activation of adenosine A2A receptors in choroid plexus epithelial cells causes increased CSF production via PI3K/AKT-dependent SPAK phosphorylation and NF-κB-dependent upregulation of ATP1A2, and blocking A2A receptors or deleting Adora2a in the choroid plexus will reduce CSF hypersecretion and prevent ventricular enlargement.</w:t>
      </w:r>
    </w:p>
    <w:p>
      <w:r>
        <w:t xml:space="preserve"> </w:t>
      </w:r>
    </w:p>
    <w:p>
      <w:pPr>
        <w:pStyle w:val="Heading2"/>
      </w:pPr>
      <w:r>
        <w:t>Related Work</w:t>
      </w:r>
    </w:p>
    <w:p>
      <w:r>
        <w:t>Prior studies implicate adenosine A2A signaling in brain and choroid plexus physiology and suggest NKCC1 and Na+/K+-ATPase (ATP1A2) regulate CSF secretion. Existing pharmacology shows A2A agonists raise cAMP and can alter transporter phosphorylation; available antagonists (istradefylline, ZM241385) cross brain barriers. Limitations include reliance on systemic dosing that confounds cardiovascular effects, sparse use of choroid-plexus-specific genetic models, limited direct measures of CSF production in vivo, inconsistent PK/PD linking tissue exposure to molecular endpoints (pSPAK, pNKCC1, ATP1A2), and scarce human choroid plexus validation. Current approaches do not combine dense PK/PD, CP-restricted manipulation, validated phospho-peptide quantitation, and longitudinal MRI/ICP outcomes.</w:t>
      </w:r>
    </w:p>
    <w:p>
      <w:r>
        <w:t xml:space="preserve"> </w:t>
      </w:r>
    </w:p>
    <w:p>
      <w:pPr>
        <w:pStyle w:val="Heading2"/>
      </w:pPr>
      <w:r>
        <w:t>Abstract</w:t>
      </w:r>
    </w:p>
    <w:p>
      <w:r>
        <w:t>Hydrocephalus involves excess cerebrospinal fluid (CSF) and enlarged brain ventricles (ventriculomegaly). We propose to test whether adenosine A2A receptor signaling in the choroid plexus (CP)—the tissue that secretes CSF—drives CSF hypersecretion through parallel kinase and transcriptional routes and whether A2A antagonism prevents ventricular enlargement. The project will combine CP-restricted genetic loss-of-function with selective pharmacology, dense pharmacokinetic/pharmacodynamic (PK/PD) sampling, validated phospho-proteomic assays, ex vivo and in vivo CSF production measures (ventriculo-cisternal perfusion and Ussing chamber), and longitudinal MRI and intracranial pressure (ICP) telemetry. Main contributions are (1) causal proof that CP A2A signaling controls CSF production, (2) a validated PK/PD link between drug exposure and CP molecular effectors (pSPAK, pNKCC1, ATP1A2, cAMP), and (3) evaluation of istradefylline and CP-targeted strategies as therapeutic approaches. Expected outcomes are clear go/no-go criteria for A2A antagonism as a treatment for hydrocephalus and translational markers for human studies.</w:t>
      </w:r>
    </w:p>
    <w:p>
      <w:r>
        <w:t xml:space="preserve"> </w:t>
      </w:r>
    </w:p>
    <w:p>
      <w:pPr>
        <w:pStyle w:val="Heading2"/>
      </w:pPr>
      <w:r>
        <w:t>Experiments</w:t>
      </w:r>
    </w:p>
    <w:p>
      <w:r>
        <w:t>Datasets: (1) Mouse cohorts: C57BL/6J both sexes at P14–P21 and 8–12 weeks; Adora2a floxed mice and Nkcc1 floxed or conditional knockdown lines. (2) Primary choroid plexus epithelial cell (CPEC) cultures for cAMP/phospho assays. (3) Human postmortem CP (fresh-frozen prioritized) and iPSC-derived CP organoids. Baselines: vehicle (systemic and intraventricular), systemic A2A antagonist (istradefylline oral), high-affinity antagonist ZM241385 (systemic/IP), intraventricular CP-targeted drug, Adora2a CP-specific deletion (AAV5-Ttr-Cre in floxed mice), and sham surgical controls. Evaluation metrics: CSF production rate (ventriculo-cisternal perfusion; units µL/min), ex vivo CP fluid flux (Ussing chamber; µL·g−1·min−1), ventricular volume by high-resolution T2 MRI (mm3), mean ICP telemetry (mmHg), CP biochemical PD: free drug concentration (LC-MS/MS), cAMP (fmol/mg), pSPAK and pNKCC1 levels (phospho-peptide LC-MS/MS and validated Western blot densitometry), ATP1A2 protein levels, and behavioral battery scores. Experimental setup: randomized, blinded groups; PK sampling at 1, 3, 10, 30, 60, 120, 240 min and 6, 12, 24 h for plasma, CSF (cisterna magna), isolated CP tissue; unbound fraction by equilibrium dialysis; antibody lot validation and phospho-peptide LLOQ/linearity defined. Sample sizes: pilot-derived power: n≈12/group for MRI volumetry, n≈10/group for CSF production/ICP (adjust after pilot variance). Statistical model: linear mixed-effects for longitudinal outcomes with fixed effects treatment/time/sex and random intercepts. Comparisons/ablations: (A) systemic vs intraventricular antagonist to isolate CP-specific effects; (B) Adora2a CP deletion vs pharmacologic antagonism; (C) pathway dissection: PKA-selective cAMP analog and Epac-selective analog and inhibitors to compare PKA vs Epac roles; (D) NKCC1 ablation or bumetanide vs Nkcc1 genetic knockdown to test NKCC1 necessity. Predefined go/no-go: acute PD ≥30% pNKCC1 reduction and ≥25% CSF production reduction without MAP/HR change &gt;10% prior to chronic arms.</w:t>
      </w:r>
    </w:p>
    <w:p>
      <w:r>
        <w:t xml:space="preserve"> </w:t>
      </w:r>
    </w:p>
    <w:p>
      <w:pPr>
        <w:pStyle w:val="Heading2"/>
      </w:pPr>
      <w:r>
        <w:t>Risk Factors And Limitations</w:t>
      </w:r>
    </w:p>
    <w:p>
      <w:r>
        <w:t>AAV tropism leakiness: AAV5-Ttr may transduce non-CP cells at low levels, producing off-target effects; single-cell resolution assays may miss rare leaks. Immune responses: viral vectors or chronic implants can induce inflammation that itself alters CSF dynamics and confounds interpretation. Anesthesia and surgical confounds: anesthetic agents change CSF production and intracranial pressure; awake measurements may be limited by technical feasibility. Telemetry and implant artifacts: ICP probes or cannulation can alter local CP function or ventricular volume; sham controls may not fully capture subtle effects. Pharmacology limits: bumetanide has poor CNS penetration and off-target effects; A2A antagonists have systemic cardiovascular actions that can confound results if CP-restricted delivery fails. PK/PD measurement limits: measuring free drug in CP interstitial fluid is technically difficult and may yield noisy estimates; phospho-peptide LC-MS/MS requires careful sample handling to avoid dephosphorylation. Variability and sample size: biological variance in CSF production and MRI measures may require larger cohorts. Translation limits: rodent CP physiology and human CP differ; postmortem human tissue quality (postmortem interval, comorbidities) may bias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