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laboratory_testing_errors_3yr_retrospective</w:t>
      </w:r>
    </w:p>
    <w:p>
      <w:r>
        <w:t xml:space="preserve"> </w:t>
      </w:r>
    </w:p>
    <w:p>
      <w:pPr>
        <w:pStyle w:val="Heading2"/>
      </w:pPr>
      <w:r>
        <w:t>Title</w:t>
      </w:r>
    </w:p>
    <w:p>
      <w:r>
        <w:t>Three-year retrospective descriptive and Six Sigma analysis of laboratory testing errors across the total testing process in a general hospital</w:t>
      </w:r>
    </w:p>
    <w:p>
      <w:r>
        <w:t xml:space="preserve"> </w:t>
      </w:r>
    </w:p>
    <w:p>
      <w:pPr>
        <w:pStyle w:val="Heading2"/>
      </w:pPr>
      <w:r>
        <w:t>Short Hypothesis</w:t>
      </w:r>
    </w:p>
    <w:p>
      <w:r>
        <w:t>Specimens collected during night shifts have higher pre-analytical error rates than specimens collected during day shifts, and this higher pre-analytical error rate increases the incidence of severe patient-impact events.</w:t>
      </w:r>
    </w:p>
    <w:p>
      <w:r>
        <w:t xml:space="preserve"> </w:t>
      </w:r>
    </w:p>
    <w:p>
      <w:pPr>
        <w:pStyle w:val="Heading2"/>
      </w:pPr>
      <w:r>
        <w:t>Related Work</w:t>
      </w:r>
    </w:p>
    <w:p>
      <w:r>
        <w:t>Prior work has applied descriptive statistics, Six Sigma process metrics (sigma metrics measure defect rates where higher sigma means fewer defects), and statistical process control to laboratory quality. Other studies have used electronic laboratory information system (LIS) flags and limited machine-learning models to detect anomalies. Reported limitations include inconsistent error taxonomies (making comparisons hard), heavy reliance on voluntary incident reports (leading to underreporting), weak linkage between lab errors and clinical outcomes, small samples for rare severe events, limited validation by chart review, and insufficient prespecification of analytic choices. Machine-learning attempts often lack temporally correct validation (risking label leakage), have limited explainability for clinicians, and rarely report calibration targets or operational thresholds. Capture–recapture methods and latent-class models are proposed but usually lack clear fallback plans when independence assumptions fail.</w:t>
      </w:r>
    </w:p>
    <w:p>
      <w:r>
        <w:t xml:space="preserve"> </w:t>
      </w:r>
    </w:p>
    <w:p>
      <w:pPr>
        <w:pStyle w:val="Heading2"/>
      </w:pPr>
      <w:r>
        <w:t>Abstract</w:t>
      </w:r>
    </w:p>
    <w:p>
      <w:r>
        <w:t>This study analyzes three years of laboratory error records in a general hospital to quantify error types, frequencies, and severity across the total testing process (pre-analytical, analytical, post-analytical). We use a reproducible taxonomy and harmonized LIS-EHR extracts to compute rates per 1,000 tests, descriptive statistics, and sigma metrics (a measure of defects per million opportunities). We will estimate underreporting with three-source capture–recapture and compare log-linear and Bayesian latent-class models when independence assumptions fail. A stratified chart-validation (dual review) will confirm severity and measure inter-rater reliability. Inferential models (Poisson/negative binomial, mixed-effects logistic regression) will identify predictors, and a temporally validated ML anomaly detector will be developed and explained with SHAP values for human review. Main contributions are (1) a fully prespecified reproducible measurement pipeline, (2) validated error rate estimates adjusted for underreporting, and (3) operational targets (rates, sigma, model thresholds) to guide quality-improvement efforts.</w:t>
      </w:r>
    </w:p>
    <w:p>
      <w:r>
        <w:t xml:space="preserve"> </w:t>
      </w:r>
    </w:p>
    <w:p>
      <w:pPr>
        <w:pStyle w:val="Heading2"/>
      </w:pPr>
      <w:r>
        <w:t>Experiments</w:t>
      </w:r>
    </w:p>
    <w:p>
      <w:r>
        <w:t>Datasets: (1) All LIS incident logs and test results for 36 months; (2) EHR orders, clinical notes, and outcome fields for same period; (3) Phlebotomy and courier logs; (4) Instrument QC logs and hemolysis/icterus/lipemia indices. All extracts mapped to LOINC for tests and SNOMED CT for error concepts. Baselines: (A) raw reported incident rates (no underreporting adjustment), (B) rates after simple deduplication and deterministic rules, (C) standard p-chart SPC monitoring. Capture–recapture comparison: log-linear independence model, dependence-adjusted log-linear, and Bayesian three-source latent-class model with prespecified priors (see below). Validation: stratified chart review of n=200 events (all flagged severe events across 3 years plus random sample by domain), dual independent reviewers, third reviewer adjudication. Evaluation metrics: error rates per 1,000 tests with 95% CI; sigma metrics (defects per million converted to sigma); Cohen's kappa for inter-rater reliability (target &gt;=0.70); Poisson/negative binomial model fit by AIC/BIC and dispersion tests; mixed-effects logistic regression for severe-event predictors with department random intercepts. ML detector: train on first 24 months, test on last 12 months; algorithms: XGBoost, random forest, penalized logistic regression; nested cross-validation for tuning on train period; metrics: AUCPR (area under precision-recall), sensitivity at preset PPV thresholds (e.g., PPV&gt;=20), calibration slope, and decision-curve net benefit; class imbalance handled by class weights and calibrated SMOTE in training only. Ablation studies: (1) with vs without capture–recapture underreporting adjustment; (2) remove specimen-quality features (hemolysis index) to measure effect; (3) compare temporal holdout vs random CV to show leakage risk. Severe-event definition (operational): event adjudicated as 'severe' if chart review documents: (a) direct patient harm attributed to lab error (adverse reaction or wrong treatment), or (b) change in clinical management within 48 hours attributable to the lab result (new medication, procedure, or escalation), or (c) measurable increase in length of stay linked to the error; adjudication requires agreement of two reviewers or third-party reconciliation. Statistical tests and thresholds: alpha=0.05, use likelihood-ratio tests for nested models, use bootstrap (1,000 resamples) for uncertainty in capture–recapture and probabilistic bias analyses. Reproducibility: store code, seeds, and data dictionary in audited repository; temporal split seeds fixed for each experiment.</w:t>
      </w:r>
    </w:p>
    <w:p>
      <w:r>
        <w:t xml:space="preserve"> </w:t>
      </w:r>
    </w:p>
    <w:p>
      <w:pPr>
        <w:pStyle w:val="Heading2"/>
      </w:pPr>
      <w:r>
        <w:t>Risk Factors And Limitations</w:t>
      </w:r>
    </w:p>
    <w:p>
      <w:r>
        <w:t>Underreporting bias: incident logs miss events; capture–recapture relies on assumptions (independence/homogeneity) that may fail and bias estimates. Misclassification: automated flags and chart abstractions may mislabel event domain; limited severe events reduce statistical power for rare-outcome models. Missing data: key timestamps or hemolysis indices may be MNAR (missing not at random), which can bias results. Label leakage: ML features derived from notes or orders created after result sign-off can leak future information if pipelines are incorrect. Generalizability: single-hospital data and local SOPs limit external validity. Temporal changes: SOP changes, equipment replacements, or policy interventions during the 3 years can confound trend analyses. Governance constraints: PHI access and CLIA rules may limit chart review scope and data sharing. Computational limits: Bayesian latent-class models and bootstrap bias analyses may be slow with large records. Retrospective design: cannot prove causality between identified predictors and patient harm, only associations.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