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iot_healthcare_meta_analysis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Weighted and random-effects meta-analysis of theoretical frameworks and predictors of Internet of Things adoption in health care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Greater perceived usefulness causes higher behavioral intention to adopt Internet of Things (IoT) technologies in health care, such that the pooled Fisher z for the perceived usefulness → behavioral intention association across quantitative studies is greater than zero.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work on technology adoption in health care has mainly applied theory-driven models such as the Technology Acceptance Model (TAM), Unified Theory of Acceptance and Use of Technology (UTAUT), and Diffusion of Innovations (DOI) to single-study contexts. Existing syntheses are limited: many are narrative or small-scale meta-analyses focused on specific device types (for example, wearables) or narrow predictors. Common weaknesses across prior approaches include heavy reliance on cross-sectional designs, inconsistent definitions of "IoT" and device categories, poor reporting of effect statistics and psychometric properties, limited representation of low- and middle-income settings, and few longitudinal or multilevel analyses. Prior reviews also often omit advanced bias-correction methods (for example, selection models or multilevel handling of dependent effects) and do not harmonize effect-size conversions systematically. These limitations reduce comparability of results and impede building an integrated, theory-driven estimate of which predictors most strongly influence IoT adoption in health care.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study will perform a reproducible, methods-focused quantitative synthesis to identify which theoretical frameworks and predictors explain adoption of Internet of Things (IoT) technologies in health care. We will combine a weighted frequency analysis (counting predictor use and significance) with random-effects and multilevel meta-analytic models to pool effect sizes across peer-reviewed and grey-literature quantitative studies. Key tasks include systematic database searches (2008–2026), prespecified effect-size harmonization (converting odds ratios, Cohen's d, hazard ratios, correlations to a common Pearson r / Fisher z metric), assessment of study quality and psychometrics, and bias correction (trim-and-fill, selection models, PET-PEESE). We will run subgroup and meta-regression tests for device type, stakeholder group, setting, region, and measurement quality, and apply meta-analytic structural equation modeling to test integrated TAM/UTAUT/DOI pathways. The main contribution is a transparent, preregistered protocol and pooled, bias-aware estimates of key predictors (for example perceived usefulness, ease of use, trust/privacy) that inform research priorities and implementation decisions for IoT in health care.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1) Data collection: systematic search in PubMed/MEDLINE, Embase, Scopus, Web of Science, CINAHL, PsycINFO, IEEE Xplore, ACM Digital Library, ProQuest Dissertations, and first 200 Google Scholar hits; timeframe 2008–2026; include quantitative studies reporting associations between predictors and adoption/intent/use of IoT in health care. 2) Extraction: study identifiers, sample size n, effect statistics (r, t, z, β, OR, HR, means/SDs, medians/IQRs), device type, stakeholder, setting, country, measure reliability (Cronbach α), study design, funding/COI. 3) Effect-size harmonization (exact formulas): a) odds ratio (OR) → Cohen's d: d = ln(OR)*sqrt(3)/π; then r = d / sqrt(d^2 + 4). b) Cohen's d → r: r = d / sqrt(d^2 + 4). c) t with df → r: r = t / sqrt(t^2 + df). d) z-statistic → r: r = z / sqrt(n). e) Pearson r → Fisher z: z_f = 0.5 * ln((1 + r)/(1 - r)); var(z_f) = 1/(n - 3). f) Hazard ratio (HR): meta-analyze log(HR) on log scale; when converting to r use d = ln(HR)*sqrt(3)/π as approximation. g) Median/IQR → mean/SD using Wan/Hozo approximations. 4) Unit-of-analysis rules: adjust cluster RCTs with DEFF = 1 + (m̄ - 1)*ICC using ICC grid {0.01,0.03,0.05}; handle multi-arm trials by combining arms or modeling contrasts with three-level multilevel meta-analysis. 5) Primary models: random-effects meta-analysis with REML tau2 estimation; three-level multilevel meta-analysis to model multiple effects per study (levels: sampling variance, within-study, between-study). 6) Small-k and dependence: use robust variance estimation (RVE) when k ≥ 10 (interpret cautiously if k &lt; 40). 7) Meta-SEM: test integrated TAM/UTAUT/DOI pathways when ≥30 independent effects cover model parameters. 8) Bayesian sensitivity: run brms models with priors (Fisher-z effect ~ Normal(0,0.2); τ ~ half-Cauchy(0,0.5)); check R̂&lt;1.05 and ESS&gt;200. 9) Missing data: impute study-level covariates with mice using predictive mean matching, m = 20; run full pipeline across imputations and pool with Rubin's rules. 10) Publication-bias and sensitivity: Egger test, trim-and-fill, PET-PEESE, selection models, p-curve; leave-one-out influence and within-study correlation (ρ) grid sensitivity at {0.3,0.6,0.9}. 11) Subgroups and meta-regressions (pre-specified): device type (wearable, ambient, remote, clinical), stakeholder (patient, clinician, admin), setting (hospital, home, primary care), region (high-income vs LMIC), measurement quality (α≥0.70 vs &lt;0.70), RoB level. 12) Baselines and ablations: a) weighted frequency (weight-analysis) baseline counting predictor usage and proportion significant; b) compare single-effect-per-study composite (averaged Fisher-z) versus three-level MLM; c) ablation: include versus exclude grey literature; d) ablation: RVE versus three-level MLM; e) ablation: different within-study ρ assumptions. 13) Evaluation metrics: pooled Fisher z (back-transformed to r), 95% CI, p-values, I2 (percent heterogeneity), τ2 (between-study variance), 95% prediction interval, meta-SEM fit indices (CFI, RMSEA), Bayesian posterior mean and 95% credible interval, R̂ and ESS diagnostics. 14) Software and reproducibility: R (lock version), packages metafor, clubSandwich/robumeta, metaSEM, brms, mice; use renv and Docker image; store code and data on OSF/GitHub.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1) Heterogeneity: studies will vary in design, measures, devices, and contexts; high heterogeneity (I2) can limit pooled inference. (Heterogeneity means differences across study results.) 2) Measurement inconsistency: outcomes and predictors may be operationalized differently, and poor or missing psychometrics (low Cronbach α) reduce comparability. 3) Small-k problems: for some predictors or subgroups there may be few studies, producing unstable estimates and unreliable bias-correction results. 4) Publication and selective-reporting bias: positive-result bias and unreported null findings in the literature may skew pooled estimates. 5) Effect-size conversion error: approximations (for OR→r, HR→r, median→mean) introduce error, especially when original data are sparse. 6) Dependence and clustering: multiple effects per study create statistical dependence that, if modelled incorrectly, can bias SEs and CIs. 7) Missing data and imputation limits: imputing study covariates relies on assumptions and may not recover true values, affecting moderator analyses. 8) Causality limits: meta-analysis of mostly observational studies can estimate associations but cannot prove causal mechanisms. 9) Generalizability: available studies may overrepresent high-income settings and specific device classes, limiting applicability to other contexts. 10) Resource and timeline constraints: thorough grey-literature searching, author queries for missing statistics, and advanced modeling require substantial time and computing resources (for example Bayesian models).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