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analytical_errors_2021_2023</w:t>
      </w:r>
    </w:p>
    <w:p>
      <w:r>
        <w:t xml:space="preserve"> </w:t>
      </w:r>
    </w:p>
    <w:p>
      <w:pPr>
        <w:pStyle w:val="Heading2"/>
      </w:pPr>
      <w:r>
        <w:t>Title</w:t>
      </w:r>
    </w:p>
    <w:p>
      <w:r>
        <w:t>Segmented interrupted time-series and mixed-effects analysis of analytical-phase laboratory errors in a Thai Red Cross general hospital</w:t>
      </w:r>
    </w:p>
    <w:p>
      <w:r>
        <w:t xml:space="preserve"> </w:t>
      </w:r>
    </w:p>
    <w:p>
      <w:pPr>
        <w:pStyle w:val="Heading2"/>
      </w:pPr>
      <w:r>
        <w:t>Short Hypothesis</w:t>
      </w:r>
    </w:p>
    <w:p>
      <w:r>
        <w:t>A pre-specified data-driven classification of analytical-phase events followed by targeted corrective actions will produce a statistically significant reduction in analytical error rate (errors per 10,000 tests) in the post-intervention period compared with the pre-intervention period as measured by segmented ITS and mixed-effects models.</w:t>
      </w:r>
    </w:p>
    <w:p>
      <w:r>
        <w:t xml:space="preserve"> </w:t>
      </w:r>
    </w:p>
    <w:p>
      <w:pPr>
        <w:pStyle w:val="Heading2"/>
      </w:pPr>
      <w:r>
        <w:t>Related Work</w:t>
      </w:r>
    </w:p>
    <w:p>
      <w:r>
        <w:t>Prior work has described laboratory errors across the total testing process and used quality tools such as Six Sigma and Westgard rules to monitor performance. Many studies concentrate on pre-analytical issues (specimen collection/transport) and report aggregate error rates without linking errors to instrument logs, reagent lots, or operator shifts. Time-series and ITS methods have been applied to quality-improvement interventions, but prior ITS analyses in laboratory settings often omit clustering by instrument/assay, ignore overdispersion in counts, or do not model autocorrelation rigorously. Validation practices vary: some reports lack blinded dual-review adjudication and do not quantify inter-rater agreement (kappa). Alerting and informatics interventions have been piloted, but few studies report silent pilot metrics (precision/recall, alert volumes) or full reproducible ETL pipelines. Limitations in existing approaches include: incomplete linkage of LIMS/QC/maintenance data, inconsistent handling of missing data, weak methods for rare assays, and limited reporting of clinical impact and cost outcomes.</w:t>
      </w:r>
    </w:p>
    <w:p>
      <w:r>
        <w:t xml:space="preserve"> </w:t>
      </w:r>
    </w:p>
    <w:p>
      <w:pPr>
        <w:pStyle w:val="Heading2"/>
      </w:pPr>
      <w:r>
        <w:t>Abstract</w:t>
      </w:r>
    </w:p>
    <w:p>
      <w:r>
        <w:t>This study retrospectively analyzes analytical-phase laboratory errors recorded from 2021–2023 in a Thai Red Cross general hospital to quantify error types, identify root causes, and measure the effect of targeted corrective actions. We will assemble a unified event-level dataset linking test results, instrument IDs, reagent lots, QC and maintenance logs, timestamps, operator shifts, and corrective actions. Primary analysis uses segmented interrupted time-series (ITS) on monthly error rates with negative-binomial models (to handle count overdispersion) and AR(1) residuals for autocorrelation. Secondary analyses apply mixed-effects logistic regression (random intercepts for instrument and assay) to identify predictors of error. Validation includes dual independent reviewer adjudication and multiple imputation for missing data. A silent prospective alert pilot will evaluate informatics alerts before enforcing auto-holds. Main contributions are: (1) a reproducible, linked dataset and ETL spec; (2) prespecified analytic and validation rules for analytical errors; and (3) evidence on the magnitude and drivers of analytical errors plus measured impact of targeted interventions on error rates and clinical downstream costs.</w:t>
      </w:r>
    </w:p>
    <w:p>
      <w:r>
        <w:t xml:space="preserve"> </w:t>
      </w:r>
    </w:p>
    <w:p>
      <w:pPr>
        <w:pStyle w:val="Heading2"/>
      </w:pPr>
      <w:r>
        <w:t>Experiments</w:t>
      </w:r>
    </w:p>
    <w:p>
      <w:r>
        <w:t>Datasets: test-level records from hospital LIMS for 2021–2023 inclusive, including fields: unique test ID, specimen ID, pseudonymized patient ID, test type, result, instrument ID, reagent lot, QC results and Westgard rule flags, maintenance logs, EQA results, timestamps (collection, receipt, analysis, verification, report), operator ID/shift, error flag, corrective action notes, and direct repeat costs. Preprocessing: deterministic linkage by IDs and temporal reconciliation within ±5 minutes (documented), de-identification by irreversible hashing, deduplication, and 20-imputation multiple imputation by chained equations (MICE) for missing covariates. Validation set: stratified sample of events with target n&gt;=200 error-positive and n&gt;=200 non-error for key assays; for rare assays use enrichment and Bayesian hierarchical pooling (explain: combine info across assays). Baselines: (A) naive pre/post rate comparison, (B) Poisson GLM, (C) negative-binomial without ITS, (D) mixed-effects model without clustering, (E) zero-inflated/hurdle models for sparse assays. Primary outcome and model: monthly error counts per assay-instrument with offset=tests, segmented ITS negative-binomial with terms for level and slope change at intervention dates; default AR(1) residuals. Secondary models: multilevel logistic regression at test-level with random intercepts for instrument and assay to estimate adjusted odds ratios of error for predictors (instrument age, reagent-lot change, QC violations, shift). Model-selection rules: use overdispersion test (p&lt;0.05) to prefer negative-binomial over Poisson; report AIC/BIC and residual diagnostics. Diagnostics: ACF/PACF, Durbin–Watson, Ljung–Box, dispersion tests, influence measures; switch to ARIMA errors if AR(1) inadequate. Evaluation metrics: error rate per 10,000 tests, adjusted ORs with 95% CI, model fit (AIC/BIC), Cohen’s kappa for reviewer agreement, sensitivity/specificity of classification, time-to-resolution median (hours), cost per prevented error, ITS effect estimates with 95% CI. Silent alert pilot: 3-month parallel-run on two high-volume assays/instruments; measure alert precision, recall, false-positive rate, alert volume per technician per day, %auto-holds overturned; pass thresholds example: precision&gt;=0.60, false-positive rate&lt;=0.10, %auto-holds overturned&lt;=0.05. Ablation studies: (1) full model vs model without multiple imputation, (2) with vs without random effects (clustering), (3) with AR(1) vs without AR correction, (4) RCV-based error definition vs default relative-change thresholds; report changes in effect estimates and fit metrics. Power and reproducibility: run simulation-based power scenarios with documented seeds and assumptions (baseline rates, ICC, overdispersion) and include scripts and seeds in repository.</w:t>
      </w:r>
    </w:p>
    <w:p>
      <w:r>
        <w:t xml:space="preserve"> </w:t>
      </w:r>
    </w:p>
    <w:p>
      <w:pPr>
        <w:pStyle w:val="Heading2"/>
      </w:pPr>
      <w:r>
        <w:t>Risk Factors And Limitations</w:t>
      </w:r>
    </w:p>
    <w:p>
      <w:r>
        <w:t>1) Data quality and linkage: timestamp mismatches, missing maintenance/QC logs, or inconsistent IDs can cause misclassification; ±5-minute tolerance may be invalid if clocks are unsynchronized. 2) Missing data bias: extensive missingness that is not missing-at-random (MNAR) may invalidate imputation and bias estimates. 3) Rare assays: small counts limit power; estimates for rare tests may be unstable and require descriptive reporting or hierarchical/Bayesian pooling. 4) Confounding and secular trends: other concurrent quality initiatives or staffing changes may confound ITS estimates. 5) Model limitations: non-convergence, collinearity among predictors, or unmodeled seasonality can affect inference. 6) Alert pilot risks: high false-positive rates or alert volume may induce alert fatigue and reduce adherence. 7) Resource constraints: compute, ETL engineering, and human-review workload may be larger than planned. 8) Privacy/regulatory constraints: data access, de-identification, and IRB approvals may restrict available fields. 9) Generalizability: results from a single general hospital may not transfer to other settings with different instruments, workflows, or resource levels. 10) Cost estimates: downstream clinical cost attribution is uncertain and may be incompletely observable in retrospective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