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anion_gap_lactate_prediction</w:t>
      </w:r>
    </w:p>
    <w:p>
      <w:r>
        <w:t xml:space="preserve"> </w:t>
      </w:r>
    </w:p>
    <w:p>
      <w:pPr>
        <w:pStyle w:val="Heading2"/>
      </w:pPr>
      <w:r>
        <w:t>Title</w:t>
      </w:r>
    </w:p>
    <w:p>
      <w:r>
        <w:t>Logistic regression and ROC analysis of initial anion gap to predict elevated serum lactate in emergency department patients with sepsis without shock</w:t>
      </w:r>
    </w:p>
    <w:p>
      <w:r>
        <w:t xml:space="preserve"> </w:t>
      </w:r>
    </w:p>
    <w:p>
      <w:pPr>
        <w:pStyle w:val="Heading2"/>
      </w:pPr>
      <w:r>
        <w:t>Short Hypothesis</w:t>
      </w:r>
    </w:p>
    <w:p>
      <w:r>
        <w:t>In adult ED patients with sepsis but not in shock, a higher initial serum anion gap (including albumin-corrected AG) increases the odds of an elevated serum lactate (≥2.0 mmol/L) on the first ED laboratory measurement.</w:t>
      </w:r>
    </w:p>
    <w:p>
      <w:r>
        <w:t xml:space="preserve"> </w:t>
      </w:r>
    </w:p>
    <w:p>
      <w:pPr>
        <w:pStyle w:val="Heading2"/>
      </w:pPr>
      <w:r>
        <w:t>Related Work</w:t>
      </w:r>
    </w:p>
    <w:p>
      <w:r>
        <w:t>Prior work has evaluated the anion gap (AG) as a simple, widely available laboratory marker to identify metabolic derangement in sepsis and as a surrogate for elevated lactate. Existing approaches include single-center and small multicenter retrospective analyses showing correlation between AG and lactate, and some studies testing albumin-corrected AG. Limitations in current studies are frequent: many do not enforce temporality (AG before lactate), few adjust for albumin, renal function, or diuretic exposure consistently, assay heterogeneity (arterial vs venous, point-of-care vs lab) is often unaddressed, selection bias arises because lactate is not measured uniformly, nonlinearity and site clustering are seldom modeled flexibly, and external validation is rare. Recent trends emphasize reproducible pipelines, bias-reduction (IPW, imputation), spline modeling for nonlinearity, and decision-curve analysis, but these are not yet integrated comprehensively in prior AG-lactate evaluations.</w:t>
      </w:r>
    </w:p>
    <w:p>
      <w:r>
        <w:t xml:space="preserve"> </w:t>
      </w:r>
    </w:p>
    <w:p>
      <w:pPr>
        <w:pStyle w:val="Heading2"/>
      </w:pPr>
      <w:r>
        <w:t>Abstract</w:t>
      </w:r>
    </w:p>
    <w:p>
      <w:r>
        <w:t>We address whether the routine serum anion gap (AG) measured on ED arrival predicts an elevated serum lactate (≥2.0 mmol/L) in adult patients diagnosed with sepsis who are not in shock. Using retrospective multicenter ED clinical and laboratory data, we will model AG and albumin-corrected AG as predictors in multivariable logistic regression with flexible spline terms to capture nonlinearity, adjust for prespecified covariates, and account for site clustering. We will quantify discrimination with ROC/AUC, calibration, and derive optimal AG cutpoints (Youden and prespecified rule-out/rule-in thresholds). To reduce bias we will require temporality (AG precedes lactate within ≤2 hours), apply inverse-probability weighting for differential lactate testing, handle missing data with multiple imputation, and validate internally with bootstrapping and leave-one-site-out cross-validation; external validation cohorts are planned. The main contribution is a reproducible, clinically actionable assessment of AGâ€™s predictive value and explicit AG thresholds for identifying ED sepsis patients likely to have elevated lactate, informing early testing or alerts.</w:t>
      </w:r>
    </w:p>
    <w:p>
      <w:r>
        <w:t xml:space="preserve"> </w:t>
      </w:r>
    </w:p>
    <w:p>
      <w:pPr>
        <w:pStyle w:val="Heading2"/>
      </w:pPr>
      <w:r>
        <w:t>Experiments</w:t>
      </w:r>
    </w:p>
    <w:p>
      <w:r>
        <w:t>Datasets: primary retrospective multicenter ED cohort of consecutive adult (≥18) sepsis encounters without shock, target n=1,200 (primary analysis population: encounters where AG and albumin measured ≤2 hours before first lactate); two external validation cohorts from independent hospital systems (each with target ≥200 lactate ≥2.0 events if available). Inclusion: suspected infection + acute organ dysfunction (SOFA≥2 or local trigger), systolic BP ≥90 mmHg on arrival, no vasopressors prior to first lactate. Exclusions: preexisting shock, ESRD on dialysis, DKA, toxic alcohol ingestion, DNR limiting care. Baselines: (1) clinical baseline model = age + key vitals (HR, RR, SBP, SpO2, temperature); (2) AG-only model (AG linear); (3) albumin-corrected AG-only; (4) full clinical model (baseline + comorbidities, eGFR, bicarbonate, source); (5) full clinical model + AG; (6) full clinical model + albumin-corrected AG. Evaluation metrics: AUC (ROC), 95% CI, calibration-in-the-large, calibration slope, Brier score, NRI, IDI, sensitivity and PPV at prespecified thresholds, decision-curve net benefit; report NPV across plausible prevalences (10–40%). Experimental setup: primary estimator = mixed-effects logistic regression with random intercept for site; AG and corrected AG modeled as restricted cubic splines with 4 knots at the 5th, 35th, 65th, 95th percentiles. Missing data: multiple imputation by chained equations (MICE) with m=20 imputations including outcome and site indicator. Selection bias: inverse-probability weighting (IPW) to project results to all ED sepsis encounters by modeling probability of lactate testing. Internal validation: 1000 bootstrap iterations and leave-one-site-out internal-external cross-validation. External validation: apply locked models to external cohorts, report same metrics. Comparisons and ablations: (A) compare AG vs albumin-corrected AG; (B) ablation excluding albumin correction (to estimate effect of missing albumin); (C) ablation including pH/HCO3 in model to measure mediation; (D) penalized regressions (ridge, elastic-net) vs full MLE to assess coefficient stability; (E) threshold selection: Youden cutpoint vs prespecified rule-out (sensitivity ≥90%) and rule-in (PPV ≥50%) strategies; report workload simulations (alerts per 1000 encounters) for each threshold. Thresholds and all analytic code locked before external validation.</w:t>
      </w:r>
    </w:p>
    <w:p>
      <w:r>
        <w:t xml:space="preserve"> </w:t>
      </w:r>
    </w:p>
    <w:p>
      <w:pPr>
        <w:pStyle w:val="Heading2"/>
      </w:pPr>
      <w:r>
        <w:t>Risk Factors And Limitations</w:t>
      </w:r>
    </w:p>
    <w:p>
      <w:r>
        <w:t>Sample size and event rate: lower-than-expected prevalence of lactate ≥2.0 mmol/L will reduce power and may force penalized modeling or a smaller covariate set. Residual confounding: unmeasured factors (pre-ED fluids, recent diuretics or albumin infusions, timing of antibiotics) may bias associations. Measurement variability: differences in lactate assay type (arterial/venous/capillary, POC vs lab) and electrolyte assay calibrations can introduce measurement error. Selection bias: lactate testing is not universal; IPW may not fully correct if predictors of testing are unobserved. Missing data and MNAR: albumin or other labs may be missing not at random, limiting validity of imputations. AG nonspecificity: AG rises for many causes beyond lactate (uremia, toxins), so predictive specificity is limited. Generalizability: external cohorts may differ in case mix, lab practices, or sepsis definitions, reducing transportability. Causal inference limits: observational design prevents definitive causal claims; associations may reflect common causes rather than causal effect. Operational risk: defined AG thresholds may produce excessive false alerts in practice, causing workload burden.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