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triherbal_thromboinflammation_dm</w:t>
      </w:r>
    </w:p>
    <w:p>
      <w:r>
        <w:t xml:space="preserve"> </w:t>
      </w:r>
    </w:p>
    <w:p>
      <w:pPr>
        <w:pStyle w:val="Heading2"/>
      </w:pPr>
      <w:r>
        <w:t>Title</w:t>
      </w:r>
    </w:p>
    <w:p>
      <w:r>
        <w:t>Oral administration of a standardized 1:1:1 aqueous extract of Moringa oleifera, Ocimum gratissimum, and Vernonia amygdalina to reduce thromboinflammatory markers in a rat model of type 2 diabetes</w:t>
      </w:r>
    </w:p>
    <w:p>
      <w:r>
        <w:t xml:space="preserve"> </w:t>
      </w:r>
    </w:p>
    <w:p>
      <w:pPr>
        <w:pStyle w:val="Heading2"/>
      </w:pPr>
      <w:r>
        <w:t>Short Hypothesis</w:t>
      </w:r>
    </w:p>
    <w:p>
      <w:r>
        <w:t>Daily oral dosing of a standardized 1:1:1 aqueous triherbal extract at mid dose (150 mg/kg) for 28 days reduces time-to-occlusion by at least 20% in a ferric chloride (FeCl3) carotid thrombosis model in high-fat diet + low-dose STZ diabetic Wistar rats compared with diabetic controls.</w:t>
      </w:r>
    </w:p>
    <w:p>
      <w:r>
        <w:t xml:space="preserve"> </w:t>
      </w:r>
    </w:p>
    <w:p>
      <w:pPr>
        <w:pStyle w:val="Heading2"/>
      </w:pPr>
      <w:r>
        <w:t>Related Work</w:t>
      </w:r>
    </w:p>
    <w:p>
      <w:r>
        <w:t>Preclinical studies report that individual and mixed herbal extracts from Moringa, Ocimum, and Vernonia can alter inflammation, platelet activity, and coagulation markers in rodent models. Common limitations are lack of chemical standardization, limited pharmacokinetic (PK) data linking exposure to effect, small or single-sex cohorts, inconsistent thrombosis models, and sparse mechanistic biomarker panels (for example, NETs or thromboelastography). Existing approaches rarely compare blended extract effects to single-herb arms or normalize dosing by active-marker content, and they often omit validated bioanalytical methods and batch-to-batch chemical fingerprinting. These gaps limit reproducibility and make it difficult to identify which chemical constituents drive anti-thromboinflammatory effects.</w:t>
      </w:r>
    </w:p>
    <w:p>
      <w:r>
        <w:t xml:space="preserve"> </w:t>
      </w:r>
    </w:p>
    <w:p>
      <w:pPr>
        <w:pStyle w:val="Heading2"/>
      </w:pPr>
      <w:r>
        <w:t>Abstract</w:t>
      </w:r>
    </w:p>
    <w:p>
      <w:r>
        <w:t>Thromboinflammation—combined blood clotting and inflammation—drives vascular complications in type 2 diabetes. We will test whether a chemically standardized 1:1:1 aqueous extract of Moringa oleifera, Ocimum gratissimum, and Vernonia amygdalina reduces thromboinflammatory outcomes in a rat model of diet-induced insulin resistance plus low-dose streptozotocin (STZ). The study uses authenticated plant material, batch QC by marker quantitation and LC‑HRMS fingerprinting, and blinded oral dosing in diabetic and non-diabetic Wistar rats. Primary outcome is time-to-occlusion in a ferric chloride carotid thrombosis assay. Secondary outcomes include platelet function, thromboelastography (a test of clot formation and strength), coagulation times, neutrophil extracellular trap (NET) markers, endothelial activation markers, cytokines, and PK of selected marker compounds measured by LC‑MS/MS. Comparisons include triherbal dose-response, single-herb arms, a marker-normalized dosing arm, and an aspirin positive control. Expected contributions are a reproducible preclinical data set linking extract chemistry, exposure, and mechanistic biomarkers to thrombotic outcomes, informing further safety and translational work.</w:t>
      </w:r>
    </w:p>
    <w:p>
      <w:r>
        <w:t xml:space="preserve"> </w:t>
      </w:r>
    </w:p>
    <w:p>
      <w:pPr>
        <w:pStyle w:val="Heading2"/>
      </w:pPr>
      <w:r>
        <w:t>Experiments</w:t>
      </w:r>
    </w:p>
    <w:p>
      <w:r>
        <w:t>Animal model and cohorts: male and female Wistar rats (Charles River or equivalent), age 8-10 weeks, target weight 180-220 g at baseline, acclimation 7 days, housed 2-3 per cage; include sex as biological variable and stratify randomization by baseline fasting glucose and weight. Diabetes induction: high-fat diet 4 weeks then STZ 40 mg/kg i.p.; confirm fasting glucose &gt;250 mg/dL at 72 h and at 1 week. Group design (10 groups, n=10 per group, balanced sexes): 1) ND-control (non-diabetic vehicle), 2) DM-control (diabetic vehicle), 3) DM+TH-L (triherbal 50 mg/kg), 4) DM+TH-M (150 mg/kg), 5) DM+TH-H (450 mg/kg), 6) DM+TH-CAI (triherbal mid dose adjusted to composite active index equivalence), 7) DM+Moringa150, 8) DM+Ocimum150, 9) DM+Vernonia150 (each single herb 150 mg/kg), 10) DM+aspirin 30 mg/kg positive control. Dosing: oral gavage once daily in 0.5% CMC, dose volume 10 mL/kg, for 28 days. Acute toxicity: Lorke method pre-study to confirm safety at planned doses. Randomization and blinding: third-party randomization, coded formulations, blinded outcome assessors. Primary endpoint: time-to-occlusion in FeCl3 carotid thrombosis (10% FeCl3, 3-min application) measured by Doppler; define occlusion as flow cessation ≥3 min; analyze by Kaplan-Meier and log-rank test. Secondary endpoints and timing (baseline, day 14, day 28, post-thrombosis): automated hematology (platelet count, MPV, WBC), platelet aggregation ex vivo (agonists ADP 10 µM, collagen 2 µg/mL, TRAP 15 µM) reported as % aggregation; thromboelastography (TEG) parameters R, K, MA, LY30; plasma PT, aPTT, fibrinogen, D-dimer; NET markers H3Cit (citrullinated histone H3) by IHC and MPO-DNA complexes by ELISA; endothelial markers sVCAM-1, sICAM-1, vWF by multiplex immunoassay; cytokines TNF-α, IL-6, IL-1β, IL-10 by ELISA or multiplex; histopathology of pancreas, liver, kidney, carotid; safety labs (ALT, AST, creatinine, BUN). PK/analytical plan: LC-MS/MS quantification of selected markers (glucomoringin, eugenol, vernodalin/luteolin derivatives) with LLOQ target 1-5 ng/mL in plasma; PK pilot (n=6/group) rich sampling 0,0.25,0.5,1,2,4,6,8,12,24 h after single dose and steady-state trough/peak after day 14; compute Cmax, Tmax, AUC0-24. Data analysis: primary comparison DM+TH-M vs DM-control; secondary comparisons include triherbal dose-response, triherbal vs single herbs, TH-CAI vs TH-M (ablation of CAI weighting), and DM+TH-M vs DM+aspirin. Statistical methods: mixed-effects models for longitudinal data, ANOVA with post-hoc tests for end-of-study continuous endpoints, log-rank for time-to-event, false discovery rate control for multiple secondary endpoints. PK/PD integration: partial least squares (PLS) regression linking marker AUC to primary and key secondary endpoints. Baselines and QC: batch marker acceptance ±15% with LC-HRMS fingerprint concordance; bioanalytical validation per ICH Q2(R1) with calibration range covering expected concentrations. Comparison/ablation studies: 1) triherbal vs single herbs (efficacy partitioning), 2) CAI-normalized dose vs fixed-extract dose (impact of marker-normalization), 3) dose-response across 50/150/450 mg/kg (efficacy and NOAEL inference).</w:t>
      </w:r>
    </w:p>
    <w:p>
      <w:r>
        <w:t xml:space="preserve"> </w:t>
      </w:r>
    </w:p>
    <w:p>
      <w:pPr>
        <w:pStyle w:val="Heading2"/>
      </w:pPr>
      <w:r>
        <w:t>Risk Factors And Limitations</w:t>
      </w:r>
    </w:p>
    <w:p>
      <w:r>
        <w:t>Botanical and chemical variability: marker content may vary between batches or suppliers, producing inconsistent exposures. Low oral bioavailability: active markers may be poorly absorbed or rapidly conjugated (phase II metabolites), reducing plasma exposure and masking effects. Analytical sensitivity: LC-MS/MS or biomarker assays may not reach required lower limits of quantitation for key markers or NET assays. Model translatability: HFD+STZ rats approximate human type 2 diabetes but do not fully reproduce human vascular disease; results may not generalize to humans. Sex differences: including both sexes increases complexity and may require larger group sizes to detect effects. Assay and model failure modes: FeCl3 thrombosis can be sensitive to surgical and environmental variability (temperature, anesthesia depth), producing noisy time-to-occlusion data. Multiplicity and power: many secondary endpoints risk false positives; some endpoints may be underpowered despite primary-powering. Regulatory/GLP constraints: full GLP pivotal standards (audit trails, certified labs) increase time and cost. Resource limits: procurement delays for isotope-labeled standards or reference compounds can delay PK validation. Ethical/animal welfare: large group sizes increase animal use and require strict humane monitoring; high glucose or severe toxicity may trigger dropouts that reduce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