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fcm_trust_cdss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Quantifying clinicians' perceived trust in interpretable COVID-19 clinical decision support using fuzzy cognitive maps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agreement between a clinician's elicited mental model (represented as a fuzzy cognitive map) and an interpretable CDSS's explanations causes increased clinician perceived trust (CTIC-D score) and higher adherence to the CDSS recommendation.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Work on explainable AI in clinical settings has produced interpretable model classes (rule lists, generalized additive models) and post-hoc explanations for black-box models (feature attributions, counterfactuals). Human factors research has measured trust using generic automation scales and laboratory tasks, but validated clinician-specific trust instruments are limited. Prior evaluations often report perceived understanding or preference without linking explanations to actual clinician behavior (adherence, overrides) or to robust computational metrics. Explanation-quality metrics (fidelity, stability, complexity) exist, but they are normally applied to model-output explanations, not to clinician mental models; thresholds for clinical acceptability are not standardized. Methods that elicit mental models (think-aloud, causal mapping) have been used in HCI but rarely quantified or validated against system explanations in clinical decision support. Overall limitations: weak connection between computational explanation properties and behavioral outcomes, scarce clinician-centered trust instruments, limited ecological validity (few studies simulate EHR workflows, interruptions, or safety outcomes), and lack of prespecified thresholds and pilot-driven update rules.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reproducible method to assess and quantify clinicians' perceived trust in an interpretable machine-learning clinical decision support system (CDSS) for COVID-19 diagnosis by eliciting clinicians' mental models as fuzzy cognitive maps (FCMs) and validating those maps against system explanations using a degree-of-agreement metric. The approach operationalizes perceived trust with a clinician-focused instrument (CTIC-D) and links quantified agreement to behavioral outcomes (adherence, overrides, time-to-decision) using multilevel mediation models. Main contributions are: (1) a protocol to convert clinician FCMs into numeric maps that can be compared to model explanations, (2) prespecified computational explanation-quality metrics (fidelity, stability, complexity, contrastivity, calibration) and perturbation tests, and (3) an experimental design that connects FCM-derived agreement to CTIC-D scores and adherence rates. Expected outcomes include a validated measurement pipeline that empirically relates how alignment between clinician mental models and CDSS explanations affects perceived trust and decision behavior in clinically realistic simulations.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MIMIC-IV and eICU for clinical features and sepsis-like cohorts; NIH ChestXray or RSNA subsets for imaging triage; synthetic patient sets from Synthea and de-identified local EHR sandbox extracts for workflow experiments. Baselines: (A) no explanation, (B) simple rule-based explanation, (C) GAM-style intrinsic explanation, (D) black-box model plus SHAP attributions, (E) counterfactual explanations. Design: within-subject randomized counterbalanced experiment where each clinician evaluates Ncases per condition across explanation types under ecologically valid constraints (time pressure, interruptions). Sample-size targets: primary perceptual outcome powered for d≈0.5 within-subject (N≈34 clinicians for pilot); behavioral adherence powered for dz≈0.35 (N≈66); full mediation and subgroup analyses target N≈120–150. Evaluation metrics: CTIC-D composite (clinician trust score), adherence rate (binary), override reasons, time-to-decision, diagnostic accuracy, calibration (predicted risk vs outcome), fidelity (local/global surrogate R²), stability (coefficient of variation of attributions over 50–200 perturbations), complexity (feature count per explanation), contrastivity (normalized gap top vs second attribution), explanation calibration (ECE and Brier for any explanation-derived probabilistic scores), and simulated downstream safety events. Ablations: (1) with vs without FCM elicitation before exposure to explanations, (2) explanation-quality thresholding (exclude explanations with fidelity&lt;R2 threshold), (3) explanation modality (text vs visual). Analysis: multilevel mixed-effects models with clinician and site random intercepts for CTIC-D and adherence, multilevel mediation (explanation metrics → CTIC-D → adherence) via multilevel SEM or bootstrap product-of-coefficients (5,000 resamples), and hierarchical multiplicity control (primary endpoints first, then secondary). Perturbation protocol: 50–200 runs per case including clinically plausible Gaussian noise (5–20% scale), MCAR/MAR/MNAR missingness patterns, bootstrapped samples, and small distribution shifts to compute stability and fidelity. Reproducibility: containerized pipelines with fixed seeds; analysis implemented in R (lme4/brms/lavaan) and Python (scikit-learn, shap) with preregistered scripts.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 in CTIC-D (scale development may misestimate trust); variability in FCM elicitation across clinicians (different framing yields different maps); limited sample sizes for subgroup or mediation inference causing low power; generalization risk from simulated to live clinical settings; synthetic data utility gap versus real EHR data; missing-data mechanisms may be MNAR and bias estimates; mediator confounding or post-treatment confounding can invalidate causal mediation claims; explanation metrics (attributions) may not correspond to human reasoning—their calibration and interpretation are ambiguous because attribution scores are not true probabilities; computational cost for large perturbation runs (50–200 per case) may be high; differential privacy (DP) guarantees reduce data utility and the chosen epsilon may inadequately protect privacy or overly degrade model fidelity; ethical and psychological risk to participants when exposed to simulated harms; inability to fully remove unmeasured team-level latent confounders in observational mediation without stronger identification strategies.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