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pos_corpus_anomaly_detection</w:t>
      </w:r>
    </w:p>
    <w:p>
      <w:r>
        <w:t xml:space="preserve"> </w:t>
      </w:r>
    </w:p>
    <w:p>
      <w:pPr>
        <w:pStyle w:val="Heading2"/>
      </w:pPr>
      <w:r>
        <w:t>Title</w:t>
      </w:r>
    </w:p>
    <w:p>
      <w:r>
        <w:t>Statistical anomaly detection over learned probability distributions for automatic error identification in part-of-speech annotated corpora</w:t>
      </w:r>
    </w:p>
    <w:p>
      <w:r>
        <w:t xml:space="preserve"> </w:t>
      </w:r>
    </w:p>
    <w:p>
      <w:pPr>
        <w:pStyle w:val="Heading2"/>
      </w:pPr>
      <w:r>
        <w:t>Short Hypothesis</w:t>
      </w:r>
    </w:p>
    <w:p>
      <w:r>
        <w:t>Fitting a probability model over elements of a manually annotated POS corpus and flagging low-probability elements as anomalies will identify annotation errors with higher span-aware F1 than lexical and perplexity-based baselines under the same annotation budget.</w:t>
      </w:r>
    </w:p>
    <w:p>
      <w:r>
        <w:t xml:space="preserve"> </w:t>
      </w:r>
    </w:p>
    <w:p>
      <w:pPr>
        <w:pStyle w:val="Heading2"/>
      </w:pPr>
      <w:r>
        <w:t>Related Work</w:t>
      </w:r>
    </w:p>
    <w:p>
      <w:r>
        <w:t>Existing approaches to annotation-error detection include lexical heuristics (simple rules like unlikely token-tag pairs), language-model (LM) perplexity and reconstruction-based detectors (models that score how well text can be predicted or reconstructed), supervised token/sequence classifiers (models trained on labeled errors), and weakly supervised or contrastive methods (which learn differences between clean and corrupted text). Prior work on anomaly detection in other domains shows benefits from density estimation and semi-supervised methods but often lacks span-level localization (identifying exact token ranges), multi-label severity scoring, and rigorous calibration (alignment of scores with real error probabilities). Synthetic-error augmentation is commonly used to increase rare-class examples, yet many studies do not quantify distributional shift caused by synthetic data or its effect on calibration. Active-learning strategies have been applied to reduce annotation cost but vary in normalization and acquisition stability across rounds. Overall limitations include coarse evaluation metrics that ignore partial-span matches, insufficient uncertainty calibration, untested effects of synthetic augmentation on real-test performance, and weak reproducibility of matching and scoring rules.</w:t>
      </w:r>
    </w:p>
    <w:p>
      <w:r>
        <w:t xml:space="preserve"> </w:t>
      </w:r>
    </w:p>
    <w:p>
      <w:pPr>
        <w:pStyle w:val="Heading2"/>
      </w:pPr>
      <w:r>
        <w:t>Abstract</w:t>
      </w:r>
    </w:p>
    <w:p>
      <w:r>
        <w:t>We address automatic detection of annotation errors in part-of-speech (POS) tagged corpora by treating annotation elements as samples from a learned probability distribution and using anomaly scores to flag likely mistakes. The core idea is to fit statistical and reconstruction-based models to token- and span-level representations of a manually marked corpus, compute anomaly scores for spans (contiguous token sequences), and present the highest-scoring anomalies for review. The main contributions are (1) a span-aware anomaly detection framework that outputs labeled, severity-weighted candidate errors with fractional-span crediting, (2) a reproducible evaluation protocol including partial-credit span metrics, calibration diagnostics, and a held-out novel-error set, and (3) systematic ablations of synthetic-error augmentation, active-learning normalization schemes, and tie-breaking rules for span matching. Expected outcomes include improved precision and recall for locating annotation errors compared to simple baselines, clearer diagnostics for calibration and distributional shift caused by synthetic data, and a reproducible benchmark for future corpus-quality work.</w:t>
      </w:r>
    </w:p>
    <w:p>
      <w:r>
        <w:t xml:space="preserve"> </w:t>
      </w:r>
    </w:p>
    <w:p>
      <w:pPr>
        <w:pStyle w:val="Heading2"/>
      </w:pPr>
      <w:r>
        <w:t>Experiments</w:t>
      </w:r>
    </w:p>
    <w:p>
      <w:r>
        <w:t>Datasets: Penn Treebank POS-tagged sentences as the primary real corpus; a seed annotated set of 5k items containing real annotator disagreements; synthetic-error variants generated with configurable rates to augment training; a held-out novel-error test set drawn from different domains and sealed until final evaluation. Splits: stratified by genre/time/error-type into train/val/test = 80/10/10 (document-level stratification). Baselines: (A) lexical heuristic detector (rule-based improbable token-tag pairs), (B) LM-perplexity detector (per-token average surprisal), (C) reconstruction detector (T5-small reconstruction loss), and (D) supervised token-labeler (BERT-base token classifier with BIO spans). Proposed models: span-aware density/reconstruction ensemble with span representations (start/end/mean) and a classifier head outputting multi-label and severity. Evaluation metrics: span-aware precision, recall, F1 with fractional credit (overlap_ratio = |pred ∩ gold| / |pred ∪ gold|; credit if overlap ≥ τ), AUROC and Average Precision (AP) for detection scores, Expected Calibration Error (ECE) with 10 bins, per-class and severity-stratified reports, and annotation-efficiency metrics (time per item, marginal F1 per 100 items). Experimental setup: hyperparameters fixed across runs (lr=2e-5, batch=16–32, epochs=3–5), max sequence length 512, seeds {42,2023,7}. Ablations: (1) tie-breaking rule for span matching (prefer higher confidence vs deterministic heuristics); (2) normalization for active learning signals: per-batch min-max, global fixed scaling, and running-percentile scaling; (3) synthetic mixing ratios in training {0%,10%,25%,50%}; (4) calibration methods: temperature scaling vs isotonic regression. Active learning: run 5 rounds, batch size 200–500, acquisition score as weighted sum of normalized signals (ensemble disagreement, token entropy, margin, diversity); grid-search signal weights. Statistical tests: paired bootstrap (10k resamples) for confidence intervals and p-values, Benjamini-Hochberg FDR control at 0.05 for multiple comparisons, report effect sizes and minimal meaningful ΔF1 pre-registered. Power/sample-size: include analytic and simulation scripts that map prevalence and intra-document correlation to required N.</w:t>
      </w:r>
    </w:p>
    <w:p>
      <w:r>
        <w:t xml:space="preserve"> </w:t>
      </w:r>
    </w:p>
    <w:p>
      <w:pPr>
        <w:pStyle w:val="Heading2"/>
      </w:pPr>
      <w:r>
        <w:t>Risk Factors And Limitations</w:t>
      </w:r>
    </w:p>
    <w:p>
      <w:r>
        <w:t>Synthetic-data shift: synthetic error injection can change feature and calibration distributions relative to real errors, harming real-test performance. Annotation disagreement: low inter-annotator agreement on ambiguous spans reduces reliable ground truth. Calibration and score misinterpretation: anomaly scores may be poorly calibrated, leading to many false positives or missed errors. Span complexity: many overlapping or nested spans, tokenization boundary mismatches, and very long spans create evaluation and matching ambiguities. Normalization instability: per-batch min-max scaling in active learning can produce inconsistent acquisition across rounds. Statistical assumptions: bootstrap and analytic power calculations rely on assumptions about variance and intra-document correlation that may not hold. Compute and cost: training ensembles, reconstruction models, and large-scale bootstraps require substantial compute and annotation budgets. Generalization limits: methods tuned on Penn Treebank POS data may not transfer to other languages, genres, or annotation schemes without retraining and revalidation. Evaluation thresholds: choices like overlap threshold τ, severity weights, and realism-test sample sizes affect outcomes and may be dataset-specific.</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