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prob_smooth_attention_mil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Probabilistic smooth attention for deep multiple instance learning in medical imaging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Modeling attention logits as a reparameterizable Gaussian distribution with a spatial smoothness prior yields higher bag-level AUC and improved calibration (lower ECE and Brier score) and produces meaningful instance-level uncertainty than deterministic attention in medical-image MIL.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multiple instance learning (MIL) methods for medical imaging often use deterministic attention mechanisms that assign a single weight per patch and then pool features for slide- or patient-level prediction. Extensions have added gating, hierarchical pooling, or preselection to improve efficiency. Separate lines of work apply Bayesian methods to neural networks to quantify uncertainty, and graph-based priors or spatial smoothing are used for structured data to encourage local consistency. However, prior MIL methods typically: (1) provide point-estimate attention maps that can be overconfident and noisy, (2) lack a unified probabilistic model that directly encodes spatial smoothness among patch-level contributions, and (3) do not jointly optimize instance uncertainty, calibration, and bag prediction under a single variational objective. Numerical and scaling issues for graph priors (KL terms, log-determinants) are also underexplored in the MIL context.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probabilistic smooth attention layer for deep multiple instance learning (MIL) applied to medical images. The layer models pre-softmax attention logits as a reparameterizable multivariate normal distribution whose prior encodes spatial smoothness via a graph Laplacian or local kernel; attention weights are obtained by a temperature-controlled softmax of sampled logits. Training maximizes a variational evidence lower bound (ELBO) that trades off bag predictive likelihood and a KL term to the smooth prior, yielding calibrated bag predictions and uncertainty-aware instance contributions. The main contribution is a unified, scalable framework that captures both local (neighboring patches) and longer-range interactions while providing well-calibrated predictive probabilities and explicit instance-level epistemic uncertainty. Expected outcomes are improved bag AUC, better calibration (lower expected calibration error and Brier score), smoother and clinically interpretable attention maps, and actionable uncertainty estimates for human-in-the-loop review. The method is designed to integrate with pretrained backbones and supports diagonal, sparse-precision, or low-rank covariance parameterizations for computational flexibility.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Whole-slide histopathology: CAMELYON16 or TCGA subtask with tumor/no-tumor slides and available ROI annotations; 2) Thoracic CT: LIDC-IDRI nodule classification (patch bags) or a clinical CT detection dataset; 3) Synthetic slides with planted microlesions for sensitivity tests. Baselines: (A) deterministic attention-MIL (point-estimate attention), (B) gated-attention MIL, (C) probabilistic attention with independent per-instance variances (no spatial prior). Proposed variants: (1) diag-q with Laplacian prior (baseline prototype), (2) sparse-precision (GMRF) prior, (3) low-rank+diag q. Metrics: bag AUC (primary), bag NLL, Brier score, Expected Calibration Error (ECE), instance AUC when labels exist, Dice/IoU and recall@k for localization vs expert ROIs, predictive entropy and mutual information for epistemic uncertainty. Statistical tests: paired DeLong for AUC, bootstrap 95% CIs, Benjamini–Hochberg correction for multiple ablations. Experimental setup: feature extractor pretrained (CNN or transformer), projector MLP d=256, attention head predicts mu_i and logvar_i per patch, attention a = softmax(z/tau) with z sampled S times from q(z) (S∈{4,8,16}); optimize ELBO = E_q[log p(y|r)] - beta * KL[q||p] with beta∈{0.1,1,10} and temperature annealing schedule. Ablations: remove smoothness prior (lambda=0), deterministic attention (no sampling), vary covariance structure (diag vs low-rank vs sparse), vary tau, and change S. Robustness tests: stain-shift, scanner domain hold-out (leave-one-site-out), missing-patch masks, and small-lesion occlusion. Implementation diagnostics: empirical error vs Hutchinson vectors t∈{5,10,20,50} and SLQ steps m∈{10,20,30,50} for logdet approximation reported per-slide.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Numerical instability computing KL terms and log-determinants for large graphs (ill-conditioned Laplacian eigen-spectra); (2) implicit-solve failures or excessive CG iterations leading to slow or biased gradients. Data and evaluation biases: scarce or noisy patch-level annotations limit instance-level validation; ROI masks may be sparse and introduce sampling bias. Over-smoothing risk: a strong smoothness prior can blur or remove small but clinically important lesions, reducing sensitivity. Scalability and compute: large bags (thousands of patches) increase memory and time; sparse or low-rank approximations may trade accuracy for speed. Generalization limits: domain shift (different scanners, stains, patient populations) can degrade calibration and attention localization. Statistical limits: small effect sizes (e.g., ΔAUC near 0.01) require large sample sizes for reliable detection. Reproducibility constraints: stochastic approximations (Hutchinson/SLQ) depend on random seeds and numeric precision (float32 vs float64), affecting CI for diagnostic values.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