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hierarchical_occlusion_xai_mri</w:t>
      </w:r>
    </w:p>
    <w:p>
      <w:r>
        <w:t xml:space="preserve"> </w:t>
      </w:r>
    </w:p>
    <w:p>
      <w:pPr>
        <w:pStyle w:val="Heading2"/>
      </w:pPr>
      <w:r>
        <w:t>Title</w:t>
      </w:r>
    </w:p>
    <w:p>
      <w:r>
        <w:t>Hierarchical occlusion and ensemble explainability for MRI diagnostic support of distal myopathies</w:t>
      </w:r>
    </w:p>
    <w:p>
      <w:r>
        <w:t xml:space="preserve"> </w:t>
      </w:r>
    </w:p>
    <w:p>
      <w:pPr>
        <w:pStyle w:val="Heading2"/>
      </w:pPr>
      <w:r>
        <w:t>Short Hypothesis</w:t>
      </w:r>
    </w:p>
    <w:p>
      <w:r>
        <w:t>An ensemble of explainability methods that incorporates hierarchical occlusion will produce visual explanations that increase lesion localization accuracy and clinician lesion‑level sensitivity compared to single‑method heatmaps or no explanations.</w:t>
      </w:r>
    </w:p>
    <w:p>
      <w:r>
        <w:t xml:space="preserve"> </w:t>
      </w:r>
    </w:p>
    <w:p>
      <w:pPr>
        <w:pStyle w:val="Heading2"/>
      </w:pPr>
      <w:r>
        <w:t>Related Work</w:t>
      </w:r>
    </w:p>
    <w:p>
      <w:r>
        <w:t>Existing MRI explainability approaches include gradient‑based saliency maps (e.g., Grad‑CAM), integrated gradients, occlusion sensitivity, concept activation vectors (TCAV), counterfactuals, and simple ensembles of saliency maps. Limitations of these approaches are: 1) poor spatial localization and coarse heatmaps that do not align with voxel‑wise segmentations; 2) instability across random seeds and small input perturbations (unstable explanations); 3) spurious highlighting of confounders (implants, motion, imaging artifacts) leading to misleading rationales; 4) single‑method faithfulness gaps where a map does not reflect model decision causally; 5) scarce quantitative validation against voxel‑wise ground truth and limited multi‑reader human evaluation; and 6) weak integration with regulatory transparency requirements. Prior ensembles improve stability but often lack anatomically structured occlusion tests and clinician‑oriented aggregation, and counterfactual/concept methods remain under‑validated on MRI tasks with voxel labels.</w:t>
      </w:r>
    </w:p>
    <w:p>
      <w:r>
        <w:t xml:space="preserve"> </w:t>
      </w:r>
    </w:p>
    <w:p>
      <w:pPr>
        <w:pStyle w:val="Heading2"/>
      </w:pPr>
      <w:r>
        <w:t>Abstract</w:t>
      </w:r>
    </w:p>
    <w:p>
      <w:r>
        <w:t>We address the problem of producing clinician‑oriented, reliable visual explanations for MRI diagnostic models of distal myopathies. We propose combining a hierarchical occlusion technique with an ensemble of established XAI methods to generate refined, scale‑aware visualizations. Hierarchical occlusion systematically masks image regions at multiple anatomical levels (region → subregion → local patch) to measure causal influence; ensembles combine complementary explanation maps into consensus visual outputs. The main contributions are (1) a hierarchical occlusion algorithm tailored for 3D MRI, (2) an ensemble framework that fuses multi‑method explanations into clinician‑readable heatmaps with uncertainty indicators, and (3) an evaluation protocol using voxel‑wise segmentation ground truth and a blinded randomized crossover reader study. Expected outcomes are improved localization metrics, increased lesion‑level sensitivity in clinician reads, and measurable explanation faithfulness and stability. Results will inform safe, transparent integration of XAI into MRI decision support while meeting regulatory transparency requirements.</w:t>
      </w:r>
    </w:p>
    <w:p>
      <w:r>
        <w:t xml:space="preserve"> </w:t>
      </w:r>
    </w:p>
    <w:p>
      <w:pPr>
        <w:pStyle w:val="Heading2"/>
      </w:pPr>
      <w:r>
        <w:t>Experiments</w:t>
      </w:r>
    </w:p>
    <w:p>
      <w:r>
        <w:t>Datasets: multi‑center MRI dataset of distal myopathies including multi‑contrast sequences (T1, T2, STIR) from ≥3 sites; pilot dataset = 150–200 cases (~200–300 lesions) for tuning; full study target = ~1,000 lesions across ~350–450 cases stratified by site, vendor (Siemens/GE/Philips), and field strength (1.5T/3T). Obtain voxel‑wise segmentations via multi‑reader consensus (STAPLE) and record annotator Dice. Baselines: (A) no XAI (model prediction only); (B) single‑method saliency maps: Grad‑CAM, Integrated Gradients, occlusion maps; (C) simple average ensemble of saliency maps. Proposed methods: (P1) hierarchical occlusion maps (multi‑scale anatomical occlusion); (P2) ensemble fusion that weights methods by faithfulness and stability and outputs uncertainty banners. Models: segmentation model = 3D U‑Net (volumetric) and classifier head for case‑level prediction; training hyperparameters fixed and published. Evaluation metrics: localization IoU between explanation map and ground‑truth segmentation (higher is better); insertion/removal AUC for faithfulness (higher better); lesion‑level sensitivity at fixed false positive rate (primary clinical endpoint); segmentation Dice/IoU for model; Brier score for calibration; stability = SD of IoU across 5 random seeds and input perturbations; time‑to‑decision and clinician trust Likert scales in reader study. Reader study: randomized AB/BA crossover with 8 readers, 6‑week washout, each reader interprets the same cases with and without P2 explanations; primary analysis lesion‑level sensitivity comparison between arms. Statistical analysis: primary test via generalized linear mixed model (binomial family, logit link) with fixed effect for condition and period and random intercepts for reader and case and lesion nested within case; estimate via maximum likelihood with robust sandwich SEs; cluster bootstrap for CI. Ablations: (i) remove hierarchical occlusion from P2 to test its impact; (ii) replace ensemble weights with simple average; (iii) disable uncertainty banners to measure human factors. Additional analysis: MRMC variance estimation using Obuchowski‑Rockette style simulation to map lesion counts to required case numbers for 4, 8, 12 readers, and Lan‑DeMets type spending simulation for interim re‑estimation. All code for power/simulation, GLMM model scripts (R/Python), and annotation matching (Hungarian algorithm and IoU/centroid heuristics) will be versioned and published.</w:t>
      </w:r>
    </w:p>
    <w:p>
      <w:r>
        <w:t xml:space="preserve"> </w:t>
      </w:r>
    </w:p>
    <w:p>
      <w:pPr>
        <w:pStyle w:val="Heading2"/>
      </w:pPr>
      <w:r>
        <w:t>Risk Factors And Limitations</w:t>
      </w:r>
    </w:p>
    <w:p>
      <w:r>
        <w:t>Technical failure modes: hierarchical occlusion requires many forward passes and may be computationally expensive; ensemble fusion may still highlight confounders if training data contain correlated artifacts. Data and evaluation biases: limited sample sizes or site imbalance may produce overfitting and poor generalization across vendors or field strengths. Annotation variability: inter‑reader disagreement on voxel labels can reduce localization ground‑truth fidelity. Stability limits: explanations may remain sensitive to small input perturbations despite ensembling. Human factors risks: clinicians may over‑trust or under‑trust explanations, causing false reassurance or ignored warnings. Regulatory limits: intended use claims will be constrained by clinical evidence; results from a reader study may not fully support high‑risk autonomous claims. Scalability constraints: compute and storage for large occlusion experiments and multi‑seed ensembles may limit deployment in resource‑constrained settings. Generalization limits: methods validated on distal myopathies MRI may not transfer to other MRI domains without retraining and revalidation.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