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sasnet_scale_aware_seg</w:t>
      </w:r>
    </w:p>
    <w:p>
      <w:r>
        <w:t xml:space="preserve"> </w:t>
      </w:r>
    </w:p>
    <w:p>
      <w:pPr>
        <w:pStyle w:val="Heading2"/>
      </w:pPr>
      <w:r>
        <w:t>Title</w:t>
      </w:r>
    </w:p>
    <w:p>
      <w:r>
        <w:t>Scale-aware adaptive supervised network for semi-supervised medical image segmentation with limited annotations</w:t>
      </w:r>
    </w:p>
    <w:p>
      <w:r>
        <w:t xml:space="preserve"> </w:t>
      </w:r>
    </w:p>
    <w:p>
      <w:pPr>
        <w:pStyle w:val="Heading2"/>
      </w:pPr>
      <w:r>
        <w:t>Short Hypothesis</w:t>
      </w:r>
    </w:p>
    <w:p>
      <w:r>
        <w:t>In semi-supervised medical image segmentation with ≤10% labeled training data, integrating scale-aware adaptive reweighting, 3D Fourier-domain view-variance augmentation, and segmentation–regression consistency using signed distance maps increases mean Dice by ≥2.0 absolute points and boundary F1 by ≥3.0 points versus an otherwise identical model without these components.</w:t>
      </w:r>
    </w:p>
    <w:p>
      <w:r>
        <w:t xml:space="preserve"> </w:t>
      </w:r>
    </w:p>
    <w:p>
      <w:pPr>
        <w:pStyle w:val="Heading2"/>
      </w:pPr>
      <w:r>
        <w:t>Related Work</w:t>
      </w:r>
    </w:p>
    <w:p>
      <w:r>
        <w:t>Existing approaches to medical image segmentation rely on dense supervised models (e.g., U-Net family, FPN/HRNet variants) or semi-supervised methods that use consistency regularization or pseudo-labeling (e.g., Mean Teacher, FixMatch). Multi-scale fusion and feature pyramids address scale variation but typically use fixed fusion rules that do not adapt per-pixel scale. Scale-equivariant networks and dynamic filters aim to handle scale, but they add complexity and are not widely evaluated under extreme label scarcity. Boundary refinement methods use signed distance maps or auxiliary edge heads to improve contours, but they do not always combine with semi-supervision or scale conditioning. Data augmentation strategies often operate in image space; few methods use 3D Fourier-domain transforms to simulate view or annotation variability. Limitations in prior work include: (1) poor small-structure performance under scarce labels, (2) limited treatment of inter-annotator variability, (3) absence of explicit temporal/3D confidence accumulation for pixel-level reweighting, and (4) lack of joint evaluation of scale-aware fusion, Fourier-domain augmentation, and signed-distance consistency in a single semi-supervised framework.</w:t>
      </w:r>
    </w:p>
    <w:p>
      <w:r>
        <w:t xml:space="preserve"> </w:t>
      </w:r>
    </w:p>
    <w:p>
      <w:pPr>
        <w:pStyle w:val="Heading2"/>
      </w:pPr>
      <w:r>
        <w:t>Abstract</w:t>
      </w:r>
    </w:p>
    <w:p>
      <w:r>
        <w:t>We address semi-supervised medical image segmentation when manual annotations are scarce and structures vary widely in size. We propose a unified framework that fuses multi-scale features using a scale-aware adaptive reweight strategy, simulates annotation and view variability via controlled 3D Fourier-domain transforms, and enforces segmentation–regression consistency by supervising predicted signed distance maps (SDM). Scale-aware adaptive reweighting produces per-pixel weighting of predictions driven by accumulated temporal confidence (confidence accumulated across augmentations and training steps). 3D Fourier-domain view-variance augmentation generates frequency perturbations that emulate annotation and acquisition variability while preserving global anatomy. SDM consistency trains the network to predict geometric distance-to-boundary values, improving boundary precision. The main contribution is a reproducible semi-supervised pipeline that integrates spatial, temporal, and geometric consistency to improve segmentation accuracy and boundary localization under limited labels. We expect measurable gains in Dice and boundary metrics, especially for small structures and low-label regimes, without relying on dense annotation increases.</w:t>
      </w:r>
    </w:p>
    <w:p>
      <w:r>
        <w:t xml:space="preserve"> </w:t>
      </w:r>
    </w:p>
    <w:p>
      <w:pPr>
        <w:pStyle w:val="Heading2"/>
      </w:pPr>
      <w:r>
        <w:t>Experiments</w:t>
      </w:r>
    </w:p>
    <w:p>
      <w:r>
        <w:t>Datasets: LiTS (liver), BRATS (brain tumors), DRIVE/HRF (retinal vessels), MSD task subset covering multi-scale targets. For external generalization holdout, reserve one site or scanner not used in training. Data splits: train 70%, val 10%, test 20%; labeled fractions sampled from train: {1%, 5%, 10%, 25%}; stratify sampling by scale buckets (small/medium/large). Baselines: U-Net, nnU-Net (or strong automated baseline), FPN backbone, scale-equivariant CNN variant, Mean Teacher semi-supervised, FixMatch-style pseudo-labeling. Proposed variants: full SASNet, SASNet without scale-aware adaptive reweight, without 3D Fourier augmentation, without SDM consistency, and SAFM replaced by fixed fusion. Metrics: Dice coefficient, IoU, boundary F1-score (contour tolerance = max(1px,0.5% diagonal)), Expected Calibration Error (ECE, 10 bins), Brier score, per-scale-bucket Dice, inference latency (ms) and parameter count. Training setup: backbone FPN/HRNet-style encoder, train for 150 epochs with AdamW, lr schedule cosine decay with warmup, batch sizes tuned per dataset; run each condition with 8 independent random seeds. Ablations: (A1) remove each core component (reweight, Fourier augmentation, SDM) independently; (A2) replace scale-conditioned modules with fixed fusion; (A3) compare self-supervised pretraining (scale-contrastive, masked-image modeling) vs no pretrain; (A4) active learning (AL) simulation: acquisition functions compared: entropy, BALD (Bayesian active learning by disagreement), margin, representativeness (coreset/K-centers), and cost-aware selection; retraining schedules compared: full retrain every AL round vs warm-start fine-tune (20 epochs); report label-efficiency curves. Statistical analysis: paired bootstrap and permutation tests for primary comparisons, report 95% confidence intervals and p-values, preregistered MDE = 1.5–2.0 Dice points; compute and report per-condition variance and paired test inputs. Reporting: per-dataset and per-scale-bucket tables, ablation matrix mapping hypotheses to measured metrics, and seeds/CI included in logged experiment artifacts.</w:t>
      </w:r>
    </w:p>
    <w:p>
      <w:r>
        <w:t xml:space="preserve"> </w:t>
      </w:r>
    </w:p>
    <w:p>
      <w:pPr>
        <w:pStyle w:val="Heading2"/>
      </w:pPr>
      <w:r>
        <w:t>Risk Factors And Limitations</w:t>
      </w:r>
    </w:p>
    <w:p>
      <w:r>
        <w:t>Technical failure modes: scale estimation may be noisy or biased, degrading fusion and harming small-structure segmentation. Fourier-domain augmentation could produce unrealistic artifacts if not constrained. SDM regression may be unstable at thin structures or where annotations are inconsistent. Data and evaluation biases: annotated datasets may not cover the full scale distribution, leading to overstated gains on test sets; inter-annotator variability can confound SDM supervision. Scalability and compute: ensembles or MC-dropout for uncertainty are compute-heavy at inference; AL full-retrain schedules increase wall-clock time. Reproducibility limits: non-determinism from cuDNN/mixed-precision and seed sensitivity may cause run-to-run variance. Generalization limits: performance may drop on external sites with different scanner protocols, demographics, or extreme scale distributions. Measurement limits: boundary metrics are sensitive to contour tolerance choices and may not reflect clinical utility for all tasks.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