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motion_aware_physicsinformed_cmr_seg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Physics-informed motion-compensated deep segmentation for cardiac cine MRI under extreme respiratory motion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Incorporating physics-informed nonrigid motion estimation into a joint reconstruction-and-segmentation deep network with uncertainty calibration reduces left ventricular ejection fraction (LVEF) absolute error by at least 3 percentage points versus a baseline reconstruction-plus-segmentation pipeline on severe respiratory-motion cine cardiac MRI.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approaches address respiratory motion in cardiac MRI in three broad ways: (1) motion-resilient sampling and motion-resolved reconstruction (examples: radial/stack-of-stars sampling and XD-GRASP-like methods) which recover multiple motion states but often require complex post-processing and can reduce cardiac temporal fidelity; (2) model-based reconstructions (examples: low-rank plus sparse (L+S), total variation regularization, and physics-guided deep reconstruction like MoDL) that enforce image priors during k-space inversion but typically assume limited or predictable motion and need careful tuning; (3) supervised segmentation networks (U-Net variants and multi-task nets) trained on breath-hold or mildly motion-corrupted images, sometimes augmented synthetically, with ad-hoc uncertainty methods (dropout, ensembles). Limitations across prior work include: dependence on breath-hold or mild motion only, scarce public k-space datasets with controlled respiratory motion, weak integration between reconstruction motion models and segmentation objectives, limited sim-to-real validation (simulations not quantitatively matched to clinical k-space), and sparse use of clinically meaningful endpoints (LVEF, volumes) and calibrated uncertainty for triage.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Respiratory motion degrades cardiac cine MRI and leads to clinically meaningful errors in volume and ejection fraction measures. We propose a physics-informed deep learning pipeline that jointly estimates nonrigid respiratory motion from k-space and produces motion-compensated images and myocardium/cavity segmentations with calibrated uncertainty. The method couples a motion-estimation module (predicting per-slice deformation fields from navigator-like signals and coil data) with a reconstruction backbone that enforces the MRI forward model, and a segmentation head optimized for clinical endpoints (LV EDV/ESV/LVEF). Uncertainty calibration (isotonic regression and temperature scaling) produces per-structure confidence and automatic triage flags. Main contributions are: (1) an end-to-end motion-aware reconstruction-to-segmentation architecture that optimizes clinical metrics directly, (2) integration of calibrated uncertainty for safe automated triage, and (3) an experimental protocol on controlled-motion k-space, XCAT simulations, and phantom data that measures sim-to-real gap and clinical effect on LVEF. Expected outcome: reduced LVEF error under severe respiratory motion and reliable failure flags for clinical review.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(A) Controlled-motion CMRxMotion k-space dataset with 420 annotated studies stratified by pathology/vendor/motion severity (140 mild &lt;10 mm, 140 moderate 10–25 mm, 140 severe &gt;25 mm) with ISMRMRD raw k-space, respiratory trace, ECG, and dual-reader ED/ES masks; (B) XCAT-based k-space simulations: heart rate 40–120 bpm, motion amplitude 0–40 mm, arrhythmia patterns, vendor coil maps; (C) Programmable motion phantom scans with ±40 mm travel. Baselines: (1) reference NUFFT trajectory reconstruction + 2D U-Net segmentation (baseline), (2) XD-GRASP motion-resolved reconstruction + U-Net, (3) L+S reconstruction + U-Net, (4) MoDL (physics-guided deep reconstruction) + U-Net. Proposed method: joint physics-informed nonrigid motion estimation + reconstruction + segmentation with uncertainty calibration. Metrics: image fidelity NRMSE, SSIM, PSNR; clinical metrics LV EDV/ESV mean absolute error (mL), LVEF MAE (percentage points), LV mass error (g and %); segmentation Dice for LV cavity and myocardium, 95th-percentile Hausdorff distance (mm); calibration metrics: Expected Calibration Error (ECE), Brier score, reliability diagrams; operational metrics: critical false-negative rate for clinically actionable events (target ≤5%), inference latency (ms/frame), GPU memory (GB). Experimental setup: preprocess ISMRMRD, fixed random seeds, augment training k-space with diaphragm-displacement-guided deformations (range 0–40 mm), train with Adam, learning rate schedule, early stopping on validation LVEF MAE. Validation: nested cross-validation with leave-one-site-out outer loop for generalization and inner loop for hyperparameter selection; final locked external holdout site for reporting. Statistical test: pre-specified linear mixed effects model with method as fixed effect and random intercepts for site and subject to test LVEF improvement ≥3 pp (80% power). Ablations: (A) remove motion-estimation module (feed static reconstruction), (B) replace nonrigid fields with rigid-only fields, (C) disable uncertainty calibration, (D) vary augmentation max displacement (10/25/40 mm) to test robustness. Reporting: per-stratum results by motion band, vendor, and pathology with confidence intervals and Bland-Altman analysis for clinical metrics.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Technical failure modes: nonrigid motion estimates may fail with extreme through-plane motion or missing k-space center data; arrhythmia and irregular beats can break cardiac phase alignment. Data/evaluation biases: annotated ground truth has inter-reader variability; limited representation for rare vendor-model/pathology cells can bias subgroup claims. Sim-to-real gap: XCAT and phantom may not match clinical coil sensitivity, noise covariance, or contrast timing, limiting transfer. Scalability and compute: physics-informed joint models require large GPU memory and longer inference times, which may limit real-time use. Privacy and federation: federated training adds communication cost and possible degradation versus centralized training; differential privacy noise may reduce accuracy. Uncertainty limits: calibration methods may be miscalibrated for subgroups, producing over- or under-confidence. Regulatory/deployment limits: clinical thresholds and triage policies need prospective validation before clinical use.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