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disentangled_anatomy_pseudohealthy</w:t>
      </w:r>
    </w:p>
    <w:p>
      <w:r>
        <w:t xml:space="preserve"> </w:t>
      </w:r>
    </w:p>
    <w:p>
      <w:pPr>
        <w:pStyle w:val="Heading2"/>
      </w:pPr>
      <w:r>
        <w:t>Title</w:t>
      </w:r>
    </w:p>
    <w:p>
      <w:r>
        <w:t>Disentangled anatomy and appearance learning for unsupervised brain MRI anomaly detection via pseudo-healthy reconstruction</w:t>
      </w:r>
    </w:p>
    <w:p>
      <w:r>
        <w:t xml:space="preserve"> </w:t>
      </w:r>
    </w:p>
    <w:p>
      <w:pPr>
        <w:pStyle w:val="Heading2"/>
      </w:pPr>
      <w:r>
        <w:t>Short Hypothesis</w:t>
      </w:r>
    </w:p>
    <w:p>
      <w:r>
        <w:t>If a model explicitly separates spatial anatomy maps from appearance latents and reconstructs pseudo-healthy MRI from anatomy-derived high-frequency edges, then anomaly detection accuracy (patient-level AUROC) on brain MRI will be higher than for monolithic reconstruction models (AE/VAE) trained on the same healthy data.</w:t>
      </w:r>
    </w:p>
    <w:p>
      <w:r>
        <w:t xml:space="preserve"> </w:t>
      </w:r>
    </w:p>
    <w:p>
      <w:pPr>
        <w:pStyle w:val="Heading2"/>
      </w:pPr>
      <w:r>
        <w:t>Related Work</w:t>
      </w:r>
    </w:p>
    <w:p>
      <w:r>
        <w:t>Unsupervised MRI anomaly detection commonly uses reconstruction models such as autoencoders (AE) and variational autoencoders (VAE), and adversarial or GAN-based methods that learn to map images to a healthy manifold; these methods flag anomalies by large reconstruction errors. More recent work explores disentangled representations that separate anatomy (spatial structure) from appearance (intensity/style) to avoid pathology leakage into global latents. Patch-based memory methods (e.g., PatchCore) and teacher-student models use nearest-neighbor or distillation strategies to detect out-of-distribution regions. Harmonization approaches (e.g., ComBat or learned scanner-normalization) aim to reduce site effects but can remove pathology-related variance. Limitations in prior work include pathology leakage into anatomy encodings, unstable mutual-information penalties, poor multi-site generalization, inconsistent evaluation metrics, and reliance on supervised masks for alignment. Additionally, edge-based anatomical cues and explicit pseudo-healthy reconstruction have been under-explored as a combined strategy for robust unsupervised detection.</w:t>
      </w:r>
    </w:p>
    <w:p>
      <w:r>
        <w:t xml:space="preserve"> </w:t>
      </w:r>
    </w:p>
    <w:p>
      <w:pPr>
        <w:pStyle w:val="Heading2"/>
      </w:pPr>
      <w:r>
        <w:t>Abstract</w:t>
      </w:r>
    </w:p>
    <w:p>
      <w:r>
        <w:t>We propose a two-module unsupervised framework for anomaly detection in brain MRI that disentangles anatomy from imaging-specific appearance and reconstructs high-quality pseudo-healthy images from anatomy-derived edges. The first module learns a spatial anatomy representation as a multi-channel low-resolution map and a compact appearance latent vector; the anatomy map is constrained to be sparse and stable across augmentations, while the appearance latent is regularized with a VAE-style KL and independence penalties to discourage anatomy leakage. The second module restores full-resolution pseudo-healthy images from high-frequency edge cues derived from the anatomy map and reintroduces learned appearance to preserve realistic texture while suppressing abnormal residuals. The main contribution is the combination of constrained disentanglement with an edge-to-image restoration path to improve lesion localization and cross-site robustness without supervision. We expect improved voxel- and patient-level detection metrics and better generalization across modalities and centers compared to standard reconstruction baselines.</w:t>
      </w:r>
    </w:p>
    <w:p>
      <w:r>
        <w:t xml:space="preserve"> </w:t>
      </w:r>
    </w:p>
    <w:p>
      <w:pPr>
        <w:pStyle w:val="Heading2"/>
      </w:pPr>
      <w:r>
        <w:t>Experiments</w:t>
      </w:r>
    </w:p>
    <w:p>
      <w:r>
        <w:t>Datasets: healthy controls pooled from IXI, OASIS, and HCP; pathology cohorts: BraTS (gliomas), ISLES (ischemic stroke), MSSEG (multiple sclerosis) and a curated multi-site clinical set including meningioma and hematoma cases; hold out at least 3 sites for external validation. Baselines: AE, VAE, f-AnoGAN, PatchCore, and a teacher-student anomaly detection model. Metrics: patient- and voxel-level AUROC (area under ROC), AUPRC (area under precision-recall curve), DICE and IoU for lesion overlap, lesion-wise F1, false-positives-per-scan (FP/scan), Hausdorff distance, expected calibration error (ECE), and Brier score. Setup: two pilot configurations—(A) 2D slice baseline for hyperparameter sweeps, (B) compact 3D prototype with s channels C∈{4,8,16} and z dims d∈{8,16,32}; optimizer AdamW lr=1e-4, batch sizes 8–64 depending on model, mixed precision, fixed seeds, Dockerized runs, and checkpointing every epoch. Ablations: (1) remove MI/MMD penalty, (2) remove harmonization, (3) replace edge-to-image module with direct decoder, (4) vary C and d grid, (5) replace MRI-LPIPS perceptual loss with VGG-based loss. Comparisons: ensemble anomaly score (reconstruction + ELBO + Mahalanobis in z) versus single-metric scores. Statistical tests: bootstrap 95% CIs, DeLong test for AUROC, bootstrap hypothesis test for AUPRC with multiple-comparison control (Benjamini-Hochberg). Cross-site evaluation: leave-one-site-out experiments and stratified results by lesion size bins (small/medium/large).</w:t>
      </w:r>
    </w:p>
    <w:p>
      <w:r>
        <w:t xml:space="preserve"> </w:t>
      </w:r>
    </w:p>
    <w:p>
      <w:pPr>
        <w:pStyle w:val="Heading2"/>
      </w:pPr>
      <w:r>
        <w:t>Risk Factors And Limitations</w:t>
      </w:r>
    </w:p>
    <w:p>
      <w:r>
        <w:t>1) Pathology leakage: anatomy encoder may still encode pathology, causing pseudo-healthy reconstructions to miss anomalies. 2) MI estimator instability: contrastive or MMD penalties depend on batch size and negatives, producing high variance in disentanglement. 3) Harmonization leakage: scanner normalization can inadvertently remove pathology-related variance or introduce artifacts. 4) Registration and preprocessing errors: skull-stripping, bias-correction, or misregistration can distort lesions and bias results. 5) Annotation bias: limited or inconsistent lesion masks and rater drift will affect evaluation and thresholds. 6) Synthetic stress tests may not predict real rare-lesion performance due to distribution mismatch. 7) Compute limits: 3D models require high GPU memory and long training times, limiting hyperparameter sweeps. 8) Statistical power: rare pathologies may lack enough samples for precise AUPRC CI estimates. 9) Clinical generalization: performance on public datasets may not reflect real-world clinical variability and workflow integration constraints.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