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lctfound_multimodal_diffusion</w:t>
      </w:r>
    </w:p>
    <w:p>
      <w:r>
        <w:t xml:space="preserve"> </w:t>
      </w:r>
    </w:p>
    <w:p>
      <w:pPr>
        <w:pStyle w:val="Heading2"/>
      </w:pPr>
      <w:r>
        <w:t>Title</w:t>
      </w:r>
    </w:p>
    <w:p>
      <w:r>
        <w:t>Diffusion-based multimodal pretraining for a lung CT foundation model enabling multi-task pulmonary imaging</w:t>
      </w:r>
    </w:p>
    <w:p>
      <w:r>
        <w:t xml:space="preserve"> </w:t>
      </w:r>
    </w:p>
    <w:p>
      <w:pPr>
        <w:pStyle w:val="Heading2"/>
      </w:pPr>
      <w:r>
        <w:t>Short Hypothesis</w:t>
      </w:r>
    </w:p>
    <w:p>
      <w:r>
        <w:t>Pretraining a 3D lung CT foundation model with diffusion-based self-supervision combined with joint encoding of clinical metadata causes statistically significant improvements in downstream nodule detection sensitivity, segmentation Dice, and classification AUC compared to (a) models pretrained without diffusion and (b) models trained without clinical metadata.</w:t>
      </w:r>
    </w:p>
    <w:p>
      <w:r>
        <w:t xml:space="preserve"> </w:t>
      </w:r>
    </w:p>
    <w:p>
      <w:pPr>
        <w:pStyle w:val="Heading2"/>
      </w:pPr>
      <w:r>
        <w:t>Related Work</w:t>
      </w:r>
    </w:p>
    <w:p>
      <w:r>
        <w:t>Existing approaches for lung CT tasks include 2D slice-based convolutional networks, 3D CNN segmentation models (for example U-Net variants), vision transformers adapted to volumetric data, self-supervised methods such as masked autoencoders and contrastive learning, and radiomics features combined with classical classifiers. Generative models and diffusion models have recently shown strong image reconstruction and representation ability in natural images, but their application to large-scale 3D medical CT volumes is limited. Multimodal methods that combine imaging and non-imaging clinical metadata exist but are often restricted to small cohorts or simple fusion strategies. Federated learning and differential privacy have been explored to preserve privacy, yet prior work shows utility drops under strict privacy budgets and struggles with client heterogeneity (non-iid data). Common limitations are reliance on small single-center labeled datasets, limited generative pretraining capacity for 3D volumes, poor handling of multi-vendor heterogeneity, sparse joint image–clinical encoding, and insufficiently rigorous privacy/cryptographic benchmarking for clinical deployments.</w:t>
      </w:r>
    </w:p>
    <w:p>
      <w:r>
        <w:t xml:space="preserve"> </w:t>
      </w:r>
    </w:p>
    <w:p>
      <w:pPr>
        <w:pStyle w:val="Heading2"/>
      </w:pPr>
      <w:r>
        <w:t>Abstract</w:t>
      </w:r>
    </w:p>
    <w:p>
      <w:r>
        <w:t>We address the scarcity of labeled multi-center lung CT data and the need for a single adaptable model for multiple thoracic imaging tasks. We propose pretraining a hierarchical 3D foundation model using diffusion-based self-supervision (training the model to reverse added noise to images) and joint encoding of imaging plus clinical metadata (e.g., smoking status, prior imaging) on a curated multi-center corpus. The pretrained model is fine-tuned for downstream tasks including nodule detection and characterization, ILD pattern classification, consolidation segmentation, and low-dose CT enhancement. Main contributions are: (1) a diffusion-based volumetric pretraining pipeline that learns robust 3D representations, (2) a multimodal encoder that fuses CT volumes with structured clinical variables, and (3) an evaluation suite including centralized and privacy-preserving federated training with privacy accounting. We expect improved task performance and generalization across centers and vendors, enabling a single foundation model to be adapted to diverse lung CT clinical tasks.</w:t>
      </w:r>
    </w:p>
    <w:p>
      <w:r>
        <w:t xml:space="preserve"> </w:t>
      </w:r>
    </w:p>
    <w:p>
      <w:pPr>
        <w:pStyle w:val="Heading2"/>
      </w:pPr>
      <w:r>
        <w:t>Experiments</w:t>
      </w:r>
    </w:p>
    <w:p>
      <w:r>
        <w:t>Datasets: use lungCT-28M multi-center unlabeled corpus for pretraining; annotated multi-center labeled subset with targets: nodules ≥1,500–2,000 scans (≈1,000 positive nodules), ILD ≥500 cases, pneumonia ≥500, emphysema ≥500. Reserve external test sets from at least 5 independent centers: screening-like test set n≥1,000 scans for detection, 200–500 scans for ILD. Baselines: (1) radiomics features + XGBoost, (2) 2D slice-based CNN, (3) 3D CNN (nnU-Net style), (4) 3D ViT without diffusion pretraining, (5) diffusion-pretrained model without clinical metadata. Model variants: full model (diffusion + metadata), ablation A (no diffusion pretraining), ablation B (no metadata), ablation C (remove contrastive loss), ablation D (no domain-adversarial loss). Federated settings: horizontal federated learning with secure aggregation; run centralized vs federated DP-SGD experiments with target total epsilon in {2.0, 3.0, 4.0} and delta=1e-6. Training specification: optimizer AdamW, base learning rate 1e-4 for backbone, weight decay 1e-2, cosine LR schedule with linear warmup (5k steps), local steps per federated round 1–5, local batch size 2–8 (volumetric), gradient clipping norm 1.0, early stopping on validation plateau (patience 10 epochs). Pretraining: diffusion denoising objective with patch-wise masking and contrastive auxiliary loss; MAE-style reconstruction ablation. Metrics: detection — sensitivity, false positives per scan (FP/scan), precision (PPV), F1; segmentation — Dice coefficient (Dice, explain: overlap measure between predicted and true mask), IoU; classification — AUC, NPV, calibration metrics (ECE = expected calibration error), decision-curve analysis for clinical thresholds. Other evaluations: calibration curves, reliability diagrams, per-subgroup metrics (age, sex, vendor, dose), and inference latency (A100 GPU and clinical CPU). Statistical tests: predefine primary endpoint as nodule detection sensitivity non-inferiority margin 5% (one-sided alpha=0.05, power 0.8); use bootstrap CIs and Hochberg correction for grouped secondary endpoints. Ablation study: compare full model vs ablations A–D on all metrics; report metric deltas with 95% CI and sample-size adjusted p-values. Reproducibility: containerized experiments, fixed seeds, and shared configs for all runs.</w:t>
      </w:r>
    </w:p>
    <w:p>
      <w:r>
        <w:t xml:space="preserve"> </w:t>
      </w:r>
    </w:p>
    <w:p>
      <w:pPr>
        <w:pStyle w:val="Heading2"/>
      </w:pPr>
      <w:r>
        <w:t>Risk Factors And Limitations</w:t>
      </w:r>
    </w:p>
    <w:p>
      <w:r>
        <w:t>Privacy-utility trade-off: applying differential privacy (DP-SGD) may reduce model accuracy at strict privacy levels (small epsilon). Non-iid client data: federated training may not converge well if sites differ strongly in case-mix or scanner distribution. Annotation variability: inter-rater disagreement on ILD patterns and small nodules can limit supervised fine-tuning; expected inter-rater Dice variance may reduce achievable upper bound. Cryptographic overhead: 3072-bit Paillier + secret sharing raises CPU and network costs and may slow training for low-bandwidth sites. Compute cost and memory: 3D diffusion pretraining needs large GPU memory and long runtime, limiting accessibility. Robustness limits: model may fail under extreme artifacts (metal, motion) or rare pathologies underrepresented in training. Generalization limits: model trained on participating centers may underperform on unseen populations or vendors despite harmonization. Regulatory and deployment barriers: clinical validation, IEC approvals, and regulatory submissions require significant time and evidence beyond technical experiments. Adversarial risks: gradient-leakage or poisoning attacks may still occur and require empirical defenses and monitoring.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