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remote_personalized_nutrition_rct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randomized remote trial comparing personalized digital nutrition versus matched generic digital advice to reduce body weight in adults with overweight or obesity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Adults with overweight or obesity who receive a personalized, algorithm-driven digital nutrition program will have a greater percent body weight reduction at 6 months than those receiving matched generic digital nutrition content, measured by Bluetooth-connected scales.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weight-management include in-person clinical programs, telephone coaching, and digital apps delivering generic guidance. Recent remote randomized trials have tested app-based coaching and wearable integration but often rely on self-reported weight or short follow-up, use one-size-fits-all content, lack validated at-home measurement protocols, or have small, non-diverse samples. Adaptive personalization methods (algorithms that update recommendations based on user data) have shown promise in pilot studies but have limited large-scale randomized evidence. Statistical methods for remote trials typically handle missing data with simple methods; advanced doubly-robust estimators and prespecified MNAR sensitivity analyses are rarely implemented. Data transparency, device QC procedures, and explicit estimand definitions are often missing, limiting reproducibility and regulatory confidence.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whether a fully remote, digitally delivered personalized nutrition program produces greater short-term weight loss than matched generic digital advice in adults with overweight or obesity, and whether self-collected home measurements reliably detect change. We will run a randomized controlled trial with objective home weight data from Bluetooth scales, standardized self-measured waist circumference, and home dried blood spot biomarkers. The intervention uses an algorithm to tailor macronutrient and behavioral targets and may adapt over time; the control receives equivalent digital content and coaching time without personalization. Main contribution: a protocoled, auditable evaluation of personalized nutrition delivered end-to-end remotely, including measurement QC, pre-specified estimands, rigorous missing-data strategies, and reproducible analysis pipelines. Expected outcome: quantify effectiveness of personalization on percent weight change at 6 months and assess feasibility and data quality of do-it-yourself anthropometrics for scalable remote trials.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Design: two-arm, parallel randomized controlled trial, N=360 total (180 per arm), adults 18–75 with BMI 27–45 kg/m2, remote screening. Randomization: central 1:1, stratified by BMI category (27–34.9 vs ≥35), sex, diabetes status, and race/ethnicity, permuted blocks. Primary outcome: percent body weight change at 6 months, computed from Bluetooth-connected scale readings aggregated to participant-day (use mean of valid morning weights). Secondary outcomes: waist circumference change (self-measured, standardized protocol), HbA1c and lipids from dried blood spot (DBS), dietary intake change via ASA24 24-hour recalls, physical activity from wearables (average daily minutes moderate-to-vigorous), health-related quality of life, and cost-effectiveness. Baselines and follow-ups: baseline, 3, 6 (primary), and 12 months. Baseline covariates for adjustment: baseline weight, BMI category, sex, age, race/ethnicity, diabetes status, and baseline diet quality score. Analysis: primary analysis by mixed-effects longitudinal model with random intercept and slope per participant and AR(1) residuals; fixed effects: treatment, time, treatment×time, baseline weight and strata covariates. (Mixed model = statistical model for repeated measures that accounts for within-person correlation.) Missing-data strategy: multiple imputation m=50 using mice (include outcomes at all timepoints, treatment, adherence metrics, auxiliary variables); sensitivity analyses with inverse-probability weighting and targeted maximum likelihood estimation (TMLE) (TMLE = a doubly-robust causal estimator). Per-protocol: defined as ≥12 weighings in 6 months, ≥12 app sessions in months 0–3, and ≥4 coach contacts; perform complier average causal effect (CACE) using randomization as an instrument. Device QC: automated flags for implausible weights (&lt;30 kg, &gt;250 kg, day-to-day change &gt;10 kg or weekly change &gt;2%); flagged values prompt reweigh within 48 hours and central adjudication. Baselines and comparators: active digital control with matched content dose and monthly coaching. Ablation: within the personalized arm, nested randomization (1:1) to adaptive updating algorithm (Bayesian update of personalization using early weight/ adherence signals) versus static personalization (single baseline-derived plan) to test value of adaptation. Evaluation metrics: primary - mean difference in percent weight change at 6 months and 95% CI; secondary - mean differences for waist, HbA1c, diet quality; adherence metrics; proportion achieving ≥5% and ≥10% weight loss. Statistical thresholds: two-sided α=0.05 for primary; hierarchical gatekeeping for secondary endpoints (primary → waist → 12-month weight → other secondaries). Subgroup analyses: prespecified interactions by sex, race/ethnicity, baseline BMI category, and diabetes status. Ablation analysis: estimate treatment-by-adaptation interaction within personalized arm using same mixed model. Reproducibility: provide seeded R scripts for simulations and analysis, Dockerfile and renv.lock, and pool MI results via Rubin's rules; report diagnostic plots for imputation and TMLE.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Measurement error: home self-measured waist and do-it-yourself weights may be noisy or biased. Missing data: differential dropout or MNAR (missing not at random) could bias estimates. Device failures: Bluetooth scale pairing, lost shipments, or calibration drift may reduce usable data. Selection bias: sample limited to smartphone users able to complete remote tasks, reducing generalizability to people without digital access. Adherence variance: low engagement may reduce observed effect and complicate CACE assumptions. Statistical assumptions: SD = 6% and effect δ = 3% may be incorrect, affecting power. Algorithm risk: personalization algorithm may overfit or produce unsafe recommendations for some subgroups. Safety: rapid weight change or unreported medical events may occur between remote contacts. Data privacy and security: remote data flows increase risk surface for breaches. Resource limits: costs for devices, DBS kits, coaching, and lab assays may limit scalability. Regulatory: absence of in-person medical clearance for some participants could create liability or ethical constraints.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