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gb_spectro_chromogenic_poct</w:t>
      </w:r>
    </w:p>
    <w:p>
      <w:r>
        <w:t xml:space="preserve"> </w:t>
      </w:r>
    </w:p>
    <w:p>
      <w:pPr>
        <w:pStyle w:val="Heading2"/>
      </w:pPr>
      <w:r>
        <w:t>Title</w:t>
      </w:r>
    </w:p>
    <w:p>
      <w:r>
        <w:t>Quantitative specific-absorption spectroscopy of chromogenic culture media for rapid point-of-care identification of Group B Streptococcus in intrapartum swabs</w:t>
      </w:r>
    </w:p>
    <w:p>
      <w:r>
        <w:t xml:space="preserve"> </w:t>
      </w:r>
    </w:p>
    <w:p>
      <w:pPr>
        <w:pStyle w:val="Heading2"/>
      </w:pPr>
      <w:r>
        <w:t>Short Hypothesis</w:t>
      </w:r>
    </w:p>
    <w:p>
      <w:r>
        <w:t>Measuring pigment absorbance from chromogenic culture media with specific absorption spectroscopy after a controlled short incubation (≤60 minutes) produces a signal that correlates with GBS colony-forming units (CFU) in swab specimens and enables binary colonization classification with sensitivity and specificity non-inferior to enrichment culture plus PCR.</w:t>
      </w:r>
    </w:p>
    <w:p>
      <w:r>
        <w:t xml:space="preserve"> </w:t>
      </w:r>
    </w:p>
    <w:p>
      <w:pPr>
        <w:pStyle w:val="Heading2"/>
      </w:pPr>
      <w:r>
        <w:t>Related Work</w:t>
      </w:r>
    </w:p>
    <w:p>
      <w:r>
        <w:t>Current approaches for intrapartum GBS detection include: (1) selective enrichment culture on chromogenic media—considered a reference but requires long incubation (hours to overnight) and yields qualitative colony color readouts; (2) nucleic acid amplification tests (PCR, qPCR, isothermal methods like RPA) —high sensitivity and specificity but require molecular reagents, thermal control or readers, and higher per-test cost; (3) immunochromatographic lateral-flow assays—rapid and simple but generally lower sensitivity and binary (yes/no) outputs; (4) CRISPR-based readouts (e.g., Cas12) coupled to isothermal amplification—offer high specificity and rapid results but need amplification reagents and careful contamination control. Limitations across methods include tradeoffs between time-to-result, infrastructure needs, reagent cold-chain, and quantitative output. Existing chromogenic media are underutilized for rapid quantitative readout; visual inspection is subjective and insensitive at low bacterial loads. Spectroscopy-based quantification of chromogenic pigments has been explored in other fields but has not been validated as a rapid, instrumented POC replacement for molecular or enrichment-based GBS diagnostics.</w:t>
      </w:r>
    </w:p>
    <w:p>
      <w:r>
        <w:t xml:space="preserve"> </w:t>
      </w:r>
    </w:p>
    <w:p>
      <w:pPr>
        <w:pStyle w:val="Heading2"/>
      </w:pPr>
      <w:r>
        <w:t>Abstract</w:t>
      </w:r>
    </w:p>
    <w:p>
      <w:r>
        <w:t>Problem: Rapid intrapartum identification of Group B Streptococcus (GBS) is essential for timely antibiotic prophylaxis but current rapid tests either lack sensitivity or need complex molecular workflows. Approach: We propose a point-of-care method that uses chromogenic culture media whose pigment production is read by specific absorption spectroscopy (measuring light absorbed at defined wavelengths) and converted into an electrical signal and computed variable that quantitatively relates to GBS concentration. Main contribution: Development and validation of a calibrated spectroscopic readout protocol and device workflow that maps short-incubation pigment absorbance to GBS load in vaginal/rectal swabs, enabling binary colonization calls. Expected outcome: Demonstration that pigment absorbance after a controlled short incubation (tested across 0–60 minutes) correlates with CFU and yields sensitivity and specificity comparable to enrichment culture plus PCR, while reducing time-to-result and providing an auditable quantitative signal suited for POC use. Impact: If successful, the approach offers a low-complexity, instrumented alternative that bridges culture-based robustness and rapid, quantitative reporting for intrapartum GBS screening.</w:t>
      </w:r>
    </w:p>
    <w:p>
      <w:r>
        <w:t xml:space="preserve"> </w:t>
      </w:r>
    </w:p>
    <w:p>
      <w:pPr>
        <w:pStyle w:val="Heading2"/>
      </w:pPr>
      <w:r>
        <w:t>Experiments</w:t>
      </w:r>
    </w:p>
    <w:p>
      <w:r>
        <w:t>Datasets: (1) Contrived samples: cultured GBS strains (≥10 diverse MLST lineages, including nonhemolytic variants) spiked into negative swab matrix at concentrations 10, 25, 50, 100, 250, 500, 1000, 10^4 CFU/reaction; n=20 replicates per concentration for LOD work. (2) Specificity panel: 50 isolates across non-GBS species (S. pyogenes, S. pneumoniae, Enterococcus spp., Gardnerella, Lactobacillus spp., Candida spp.). (3) Clinical cohort: 500 intrapartum vaginal/rectal swab pairs collected across 3 sites, targeting ≥100 GBS-positive samples. Baselines: selective enrichment culture (CDC method) with chromogenic plate read and validated laboratory qPCR (molecular reference). Additional rapid baselines: commercial point-of-care PCR if available and immunochromatographic lateral flow. Evaluation metrics: sensitivity, specificity, positive/negative predictive value (PPV/NPV), limit of detection (LOD95 defined per CLSI EP17; LOD95 = CFU level detected 95% of time), quantitative correlation R^2 between spectroscopic variable and CFU, coefficient of variation (CV) for repeatability, time-to-result, false-positive rate. Experimental setup: spectrometer measures absorbance at defined pigment peak wavelengths (specify peaks after pilot scanning) and converts to voltage via photodiode; calibrate with serial pigment standards to create standard curve mapping absorbance to pigment concentration then to CFU using parallel culture/ddPCR. Incubation time matrix: 0, 15, 30, 60 minutes; test n=20 per time/concentration. LOD study: follow CLSI EP17-style design with ≥60 total replicates across concentrations near LOD to stabilize probit estimates. Specificity and interference: test inhibitors (blood 1–5% v/v, mucin, common antibiotics at peak intrapartum levels) and mixed-species samples. Ablation studies: (A) spectroscopy vs RGB imaging of plates; (B) with vs without short enzymatic lysis of sample before plating; (C) calibration using CFU vs genomic copies (ddPCR) to compare unit conversions. Statistical analysis: compute 95% CIs (Clopper–Pearson), compare sensitivity to composite reference via non-inferiority test with 10% margin and pre-specified prevalence assumptions, quantify LOD95 via probit regression, report R^2 and Bland-Altman for quantitative agreement.</w:t>
      </w:r>
    </w:p>
    <w:p>
      <w:r>
        <w:t xml:space="preserve"> </w:t>
      </w:r>
    </w:p>
    <w:p>
      <w:pPr>
        <w:pStyle w:val="Heading2"/>
      </w:pPr>
      <w:r>
        <w:t>Risk Factors And Limitations</w:t>
      </w:r>
    </w:p>
    <w:p>
      <w:r>
        <w:t>Technical failure modes: low pigment yield at low GBS loads limiting sensitivity; pigment production variability between strains (clonal differences or nonpigmented variants) causing false negatives; non-specific pigment or colored matrix components from other species or blood producing false positives. Data and evaluation biases: clinical prevalence variation will affect PPV/NPV; sampling variability from swab technique may dominate signal variance. Scalability and device limits: need for stable, low-cost spectrometer and reproducible calibration across lots; drift of photodetector sensitivity over time; manufacturing variability of chromogenic media lots affecting signal. Workflow constraints: required short incubation step may still be incompatible with strict intrapartum time windows in some settings. Regulatory and validation limits: translating CFU-based culture units into molecular copy-number units introduces uncertainty; CLSI-style LOD95 estimation requires large replicate counts (resource intensive). Generalization limits: performance across different clinical sites, gestational conditions (e.g., recent antibiotics, ruptured membranes), and rare nonhemolytic GBS strains may be reduced.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