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Integrated petrographic, geochemical, isotopic and experimental program to identify slag signatures, reconstruct smelting recipes, and map technological trajectories in iron production at Phnom Dek (7th–20th c. CE)</w:t>
      </w:r>
    </w:p>
    <w:p>
      <w:r>
        <w:t xml:space="preserve"> </w:t>
      </w:r>
    </w:p>
    <w:p>
      <w:pPr>
        <w:pStyle w:val="Heading2"/>
      </w:pPr>
      <w:r>
        <w:t>Short Hypothesis</w:t>
      </w:r>
    </w:p>
    <w:p>
      <w:r>
        <w:t>If smelting recipes and operating conditions changed across occupational phases at Phnom Dek, then bulk slag chemistry, phase assemblages, and Pb/Fe isotope ratios will form statistically separable clusters that correlate with independent chronological markers.</w:t>
      </w:r>
    </w:p>
    <w:p>
      <w:r>
        <w:t xml:space="preserve"> </w:t>
      </w:r>
    </w:p>
    <w:p>
      <w:pPr>
        <w:pStyle w:val="Heading2"/>
      </w:pPr>
      <w:r>
        <w:t>Related Work</w:t>
      </w:r>
    </w:p>
    <w:p>
      <w:r>
        <w:t>Prior archaeometallurgical work combines petrography (thin sections to read textures), bulk geochemistry (XRF/fused beads), phase chemistry (EPMA), mineral ID (XRD), microanalysis (SEM–EDS), isotopes (Pb, sometimes Fe), experimental smelts, thermodynamic modeling, multivariate statistics (PCA, clustering), and Bayesian radiocarbon modeling. Strengths of existing approaches are multi‑proxy data and experimental calibration. Limitations remain: many studies use small, non‑systematic sample sets that undercapture within‑feature heterogeneity; inconsistent LA‑ICP‑MS/MC‑ICP‑MS SOPs and lack of matrix‑matched slag glasses produce matrix effects; redox and post‑excavation oxidation are often poorly quantified; isotopic baseline datasets for regional ores are incomplete or absent; uncertainty budgets rarely combine sampling, subsampling and instrument errors transparently; few studies fully integrate experimental reference slags, high‑replication LA‑ICP‑MS spot rules, and multilevel statistical models (spots→samples→phases) with preregistered hypothesis tests.</w:t>
      </w:r>
    </w:p>
    <w:p>
      <w:r>
        <w:t xml:space="preserve"> </w:t>
      </w:r>
    </w:p>
    <w:p>
      <w:pPr>
        <w:pStyle w:val="Heading2"/>
      </w:pPr>
      <w:r>
        <w:t>Abstract</w:t>
      </w:r>
    </w:p>
    <w:p>
      <w:r>
        <w:t>This project addresses whether iron‑smelting recipes and operating choices at Phnom Dek changed or persisted from the 7th to the 20th century by producing traceable slag signatures and reconstructed recipes. We combine systematic, stratified sampling of archaeological slags, ores, charcoal and soils with petrography, SEM–EDS mapping (backscatter and element maps), EPMA phase analyses (electron microprobe), fused‑bead XRF for bulk chemistry, XRD mineralogy, Pb and Fe isotope ratios, Mössbauer/ferrozine redox assays (to measure Fe2+/Fe3+), and thermodynamic modeling (FactSage). Complementary experimental smelts (factorial design) will generate calibrated reference slags. We apply compositional data transforms (clr/ilr), Monte Carlo uncertainty propagation, multilevel statistical models (spots→samples→phases), and Bayesian chronological modeling to test whether compositional clusters map to dated occupational phases and to local ore sources. The main contribution is a reproducible protocol and integrated dataset that makes recipe markers, operating temperature/redox indicators, and provenance signals comparable through a full uncertainty budget. Expected outcomes are statistically validated slag groups, reconstructed recipes, isotope‑verified provenance hypotheses, and an openly documented reference library for SE Asian archaeometallurgy.</w:t>
      </w:r>
    </w:p>
    <w:p>
      <w:r>
        <w:t xml:space="preserve"> </w:t>
      </w:r>
    </w:p>
    <w:p>
      <w:pPr>
        <w:pStyle w:val="Heading2"/>
      </w:pPr>
      <w:r>
        <w:t>Experiments</w:t>
      </w:r>
    </w:p>
    <w:p>
      <w:r>
        <w:t>Datasets: 1) Archaeological: target n=20 samples per major occupational phase (pilot 15–20 per phase), each with bulk chunk (50–200 g), thin section, powdered aliquot, and polished mount. 2) Contextual: ores/bedrock/stream sediments n=6–15 per geological unit within 20 km; local soil transects n=6–10 per unit; charcoal taxa samples for radiocarbon. 3) Standards: 4–6 in‑house synthetic slag glasses spanning low/high Fe, Ca, Si, Mn compositions plus commercial CRMs (USGS BHVO‑2, NIST soils, NIST SRM 981 for Pb). 4) Experimental: factorial smelts 2 (ore type) ×2 (flux: none/limed) ×2 (tuyère: clay/ceramic) ×3 replicates = 24 smelts. Measurements per archaeological sample: petrographic thin section, SEM–EDS maps (Fe,Si,Ca,Al,Mg,P,Ti,Mn,S), EPMA/WDS on 10 phases per sample, XRF fused bead (triplicate), XRD phase quantification, Mössbauer or ferrozine assay (Fe2+/Fe3+), Pb and Fe isotope MC‑ICP‑MS, LA‑ICP‑MS spot analyses. LA‑ICP‑MS sampling rules: glass targets n=6 spots per sample, crystalline targets n=4 spots per sample; rasters 1–2 where glass is heterogeneous. Baselines: regional ore isotope database (Pb and Fe) and experimental slag library. Baselines for comparison: (A) null model: no differentiation (single population); (B) prior low‑replication studies. Evaluation metrics: clustering stability (pvclust AU p‑values), silhouette score, PCA variance explained, classifier accuracy (random forest) in cross‑validated assignment of slag→phase, mixed‑effects model effect sizes (spots nested in sample nested in phase), thermodynamic model residual RMSE between predicted and observed phase compositions, isotope mixing model posterior credible intervals. Uncertainty treatment: Monte Carlo n=1000 iterations combining sampling heterogeneity, subsampling variance, instrumental SDs and blank/yield uncertainty; report 95% credible intervals (CI) for all estimates. Ablation studies: 1) remove isotope data to test provenance attribution; 2) remove experimental reference slags to test recipe recovery; 3) reduce LA‑ICP‑MS spots per sample (glass n=3 vs n=6) to measure effect on cluster stability. Statistical workflow: clr transform for PCA, ilr for hypothesis tests, mixed/multilevel models (lme4) with FDR correction for multiple comparisons, cluster selection by gap statistic and bootstrap AU &gt;0.95. Chronology: OxCal phase modeling using short‑lived charcoal dates with sensitivity tests for reservoir corrections; report phase overlap probabilities. Reproducibility: provide R scripts and OxCal models, and upload processed datasets and uncertainty budgets to repository.</w:t>
      </w:r>
    </w:p>
    <w:p>
      <w:r>
        <w:t xml:space="preserve"> </w:t>
      </w:r>
    </w:p>
    <w:p>
      <w:pPr>
        <w:pStyle w:val="Heading2"/>
      </w:pPr>
      <w:r>
        <w:t>Risk Factors And Limitations</w:t>
      </w:r>
    </w:p>
    <w:p>
      <w:r>
        <w:t>1) Weathering and oxidation: post‑burial alteration can change Fe2+/Fe3+ and phase proportions, biasing temperature/redox inferences. 2) Heterogeneous slags: high within‑sample heterogeneity may require many spots; limited preservation can reduce representativity. 3) Sample size and permits: permit limits or destructive sampling constraints can reduce replication and statistical power. 4) Matrix effects: LA‑ICP‑MS and MC‑ICP‑MS measurements can be biased by unmatched matrices if synthetic standards do not cover natural variability. (Matrix effect means instrument response varies with sample composition.) 5) Incomplete isotopic baseline: sparse regional ore sampling limits provenance assignment and mixing‑model confidence. 6) Thermodynamic model limits: databases (e.g., FactSage) may not represent complex natural slag melts, affecting T/fO2 estimates. 7) Chronological uncertainty: reservoir effects or old‑wood charcoal can blur phase boundaries and reduce correlation power. 8) Uncertainty combination complexity: propagating sampling, subsampling and instrumental errors into final tests is computationally intensive and may inflate intervals. 9) Generalization: results specific to Phnom Dek ores/fuels/furnaces may not transfer to other regions without local baselines. 10) Resource limits: isotopic analyses and high‑replicate LA‑ICP‑MS are costly and may constrain full protocol execution.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