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reassess_composite_bow</w:t>
      </w:r>
    </w:p>
    <w:p>
      <w:r>
        <w:t xml:space="preserve"> </w:t>
      </w:r>
    </w:p>
    <w:p>
      <w:pPr>
        <w:pStyle w:val="Heading2"/>
      </w:pPr>
      <w:r>
        <w:t>Title</w:t>
      </w:r>
    </w:p>
    <w:p>
      <w:r>
        <w:t>Integrative biomolecular, imaging, and experimental replication analysis to reassess the origins of full horn–wood–sinew composite bows in ancient Eurasia</w:t>
      </w:r>
    </w:p>
    <w:p>
      <w:r>
        <w:t xml:space="preserve"> </w:t>
      </w:r>
    </w:p>
    <w:p>
      <w:pPr>
        <w:pStyle w:val="Heading2"/>
      </w:pPr>
      <w:r>
        <w:t>Short Hypothesis</w:t>
      </w:r>
    </w:p>
    <w:p>
      <w:r>
        <w:t>If full horn–wood–sinew composite-bow technology diffused from the Near East into Eurasia, then securely dated non-Near-Eastern specimens will systematically post-date and share diagnostic material and manufacturing signatures (adhesive chemistry, lamination order, and species-specific peptide markers) with Near Eastern prototypes.</w:t>
      </w:r>
    </w:p>
    <w:p>
      <w:r>
        <w:t xml:space="preserve"> </w:t>
      </w:r>
    </w:p>
    <w:p>
      <w:pPr>
        <w:pStyle w:val="Heading2"/>
      </w:pPr>
      <w:r>
        <w:t>Related Work</w:t>
      </w:r>
    </w:p>
    <w:p>
      <w:r>
        <w:t>Recent work argues for a Late Bronze Age innovation and rapid spread of composite bows across Eurasia, relying largely on iconography, typology, and a small number of material reports. Limitations in current approaches include inconsistent definitions of 'composite bow', overreliance on imagery or untested typologies, scarce direct material identifications (adhesives, horn, sinew), limited proteomic evidence, few component-specific radiocarbon dates, and weak provenance controls. Experimental reconstructions exist but often lack standardized QA, proteomic linkage, or Bayesian chronological integration. Inter-lab reproducibility and contamination screening are generally underspecified. These gaps reduce confidence in claims about timing, directionality, and independent invention.</w:t>
      </w:r>
    </w:p>
    <w:p>
      <w:r>
        <w:t xml:space="preserve"> </w:t>
      </w:r>
    </w:p>
    <w:p>
      <w:pPr>
        <w:pStyle w:val="Heading2"/>
      </w:pPr>
      <w:r>
        <w:t>Abstract</w:t>
      </w:r>
    </w:p>
    <w:p>
      <w:r>
        <w:t>This project reassesses claims about the origins and spread of the full horn–wood–sinew composite bow across ancient Eurasia by combining non-destructive imaging, targeted biomolecular identification, component-specific radiocarbon dating, and controlled experimental replication. We will assemble a provenance-vetted corpus of 20–30 candidate artifacts, perform micro-CT and 3D morphometrics, apply proteomics to identify species used for horn and sinew, analyze adhesives by FTIR/GC-MS, and date organic components with AMS integrated into Bayesian models. Parallel experimental builds (multiple laminate orders and adhesives) will provide mechanical benchmarks and micro-wear signatures. Main contribution: a preregistered diagnostic rubric that links material signatures, secure dates, and mechanical behavior to test diffusion versus independent-emergence hypotheses. Expected outcome: transparent, reproducible criteria for identifying true composite bows in collections, clearer temporal patterns across Eurasia, and an open dataset enabling robust cross-site comparisons.</w:t>
      </w:r>
    </w:p>
    <w:p>
      <w:r>
        <w:t xml:space="preserve"> </w:t>
      </w:r>
    </w:p>
    <w:p>
      <w:pPr>
        <w:pStyle w:val="Heading2"/>
      </w:pPr>
      <w:r>
        <w:t>Experiments</w:t>
      </w:r>
    </w:p>
    <w:p>
      <w:r>
        <w:t>Datasets: (1) Archaeological corpus: 20–30 candidate specimens with secure excavation records, documented accession histories, and stratigraphic context. For each specimen collect: micro-CT volumes, high-resolution photos, 3D scans, FTIR and Raman spectra, solvent-swab GC-MS of surfaces, proteomics (ZooMS and LC-MS/MS) from up to three organic components (adhesive, sinew, horn), and AMS radiocarbon dates of sampled components. (2) Experimental replicas: four construction variants (e.g., horn-wood-sinew, wood-horn-sinew, varied adhesives) × 12 replicates = 48 bows. Baselines: (A) existing iconography/typology attributions without biomolecular input; (B) non-destructive-only workflow (imaging + surface chemistry) as baseline for comparison. Evaluation metrics: temporal model comparison Bayes factors (BF), PSIS-LOO ΔELPD, WAIC, and posterior predictive checks (PPC) with calibrated ppp ranges; material concordance rate (percentage of archaeological specimens matching a prototype signature across adhesive chemistry, lamination order detection, and peptide species IDs); proteomic match confidence (peptide-spectrum match scores, species peptide counts); adhesive match score (GC-MS library match %); imaging detection sensitivity/specificity for lamination interfaces; mechanical metrics from replicas: peak energy storage (J), draw weight (N), stiffness (N/mm), and fatigue life (cycles to failure). Experimental setup: imaging labs perform micro-CT at voxel size ≤50 μm; proteomics follow extraction blanks and include 10% inter-lab blind replication; AMS uses IntCal20 calibration and reports pretreatment yields and blanks; adhesives run FTIR/GC-MS with solvent blanks and reference library. Analyses: build Bayesian chronological models (OxCal or equivalent) with preregistered use-life priors (lognormal medians 5/10/30 years sensitivity runs). Compare models for diffusion versus independent-emergence using prespecified decision rules (BF&gt;10 and ΔELPD&gt;10 threshold concordance). Ablation studies: (1) remove adhesive chemistry from diagnostic rubric to measure decrease in concordance and BF support; (2) compare full micro-sampling pipeline versus imaging-only pipeline on same specimens to quantify added value of sampling. Validation: blind inter-lab test set of 30 samples (mix of archaeological, experimental, and controls) scored against preregistered rubric; report inter-observer agreement (Cohen's kappa) and reproducibility metrics.</w:t>
      </w:r>
    </w:p>
    <w:p>
      <w:r>
        <w:t xml:space="preserve"> </w:t>
      </w:r>
    </w:p>
    <w:p>
      <w:pPr>
        <w:pStyle w:val="Heading2"/>
      </w:pPr>
      <w:r>
        <w:t>Risk Factors And Limitations</w:t>
      </w:r>
    </w:p>
    <w:p>
      <w:r>
        <w:t>1) Poor preservation: low collagen/peptide yields in horn, sinew, or adhesives may prevent proteomic IDs or radiocarbon dating. 2) Contamination: modern conservation adhesives or consolidants can mimic or obscure ancient adhesives in FTIR/GC-MS and proteomics. 3) Legal and permit delays: museum, national, or community permissions may slow or block destructive sampling. 4) Small or biased sample: museum holdings and excavation histories may not represent regional variation, limiting generalization. 5) Reservoir effects: marine or freshwater proteins in adhesives may bias radiocarbon dates and complicate ΔR estimation. 6) Experimental limits: replica builds may not reproduce ancient craft skill or material sourcing, limiting mechanical comparability. 7) Inter-lab variability: differences in proteomics, GC-MS, and AMS workflows can introduce lab-specific biases. 8) Statistical power: lower-than-expected variance control or sample loss could reduce power to detect chronological or material-pattern effects. 9) Spatial/temporal scope: conclusions will apply only to the sampled regions and time windows and may not capture un-sampled local innovations.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