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misrecognition_english_policy_bd</w:t>
      </w:r>
    </w:p>
    <w:p>
      <w:r>
        <w:t xml:space="preserve"> </w:t>
      </w:r>
    </w:p>
    <w:p>
      <w:pPr>
        <w:pStyle w:val="Heading2"/>
      </w:pPr>
      <w:r>
        <w:t>Title</w:t>
      </w:r>
    </w:p>
    <w:p>
      <w:r>
        <w:t>Mixed-methods case study using governmentality-informed discourse analysis and thematic interviews to assess how development-framed English-in-education policy produces misrecognition among low-socioeconomic-status students and parents in a Bangladeshi school</w:t>
      </w:r>
    </w:p>
    <w:p>
      <w:r>
        <w:t xml:space="preserve"> </w:t>
      </w:r>
    </w:p>
    <w:p>
      <w:pPr>
        <w:pStyle w:val="Heading2"/>
      </w:pPr>
      <w:r>
        <w:t>Short Hypothesis</w:t>
      </w:r>
    </w:p>
    <w:p>
      <w:r>
        <w:t>Greater school-level exposure to policy misrecognition causes lower student English attainment and reduced student sense of belonging compared with lower exposure, controlling for baseline attainment and student socio-demographics.</w:t>
      </w:r>
    </w:p>
    <w:p>
      <w:r>
        <w:t xml:space="preserve"> </w:t>
      </w:r>
    </w:p>
    <w:p>
      <w:pPr>
        <w:pStyle w:val="Heading2"/>
      </w:pPr>
      <w:r>
        <w:t>Related Work</w:t>
      </w:r>
    </w:p>
    <w:p>
      <w:r>
        <w:t>Existing work combines critical policy analysis (governmentality, Foucauldian genealogy), critical discourse analysis (CDA), Bourdieu-inspired studies of linguistic capital, policy ethnography, and mixed-methods education evaluation. Strengths: these approaches reveal how policy rhetoric shapes subjectivities and resource allocation, and show links between marketized language policy and classroom practice. Limitations: most studies remain at macro-textual or theoretical levels without rigorous, reproducible operational measures of "misrecognition"; few provide psychometrically validated instruments that link discourse features to student outcomes; causal identification is often weak (cross-sectional or descriptive); and research on enactment in low- and middle-income country schools is scarce. Comparative work often lacks transparent aggregation rules and pre-registered analytic plans, limiting policy uptake and replicability.</w:t>
      </w:r>
    </w:p>
    <w:p>
      <w:r>
        <w:t xml:space="preserve"> </w:t>
      </w:r>
    </w:p>
    <w:p>
      <w:pPr>
        <w:pStyle w:val="Heading2"/>
      </w:pPr>
      <w:r>
        <w:t>Abstract</w:t>
      </w:r>
    </w:p>
    <w:p>
      <w:r>
        <w:t>This study investigates whether and how English-in-education policy framed as "development" produces misrecognition of students and parents in a low-SES Bangladeshi school. We combine governmentality-informed discourse coding of policy and local documents with classroom transcript analysis, interviews and surveys of school actors, and school administrative data. Main contributions: (1) a reproducible, numeric MisrecExposure score that aggregates coded policy and enactment features (frequency and severity); (2) psychometric adaptation of language-use and identity instruments for the local context; (3) a mixed-methods test of the association between MisrecExposure and student outcomes using hierarchical models and structural equation models (SEM). Expected outcome: clear, testable evidence about whether policy-driven misrecognition predicts lower English attainment and belonging, plus validated instruments and open analytic code to support transparent policy critique and local recommendations.</w:t>
      </w:r>
    </w:p>
    <w:p>
      <w:r>
        <w:t xml:space="preserve"> </w:t>
      </w:r>
    </w:p>
    <w:p>
      <w:pPr>
        <w:pStyle w:val="Heading2"/>
      </w:pPr>
      <w:r>
        <w:t>Experiments</w:t>
      </w:r>
    </w:p>
    <w:p>
      <w:r>
        <w:t>Datasets: (a) policy corpus: national curriculum, ministry guidance, local authority/funder statements, teacher standards, funding lines (text files); (b) school corpus: school handbook, lesson plans, teacher emails; (c) classroom data: audio-recorded lessons transcribed (~60 lessons); (d) interviews: principal (1), English teachers (4–6), parents (n=60), students (n=30 individual + 4 focus groups of 6); (e) surveys: student survey n=200 (grades 6–10), parent survey n=60 using adapted LUAS, MRI, LEAP-Q items; (f) administrative outcomes: standardized English test scores (local tests mapped to a common metric), attendance, EAL support hours, staffing/funding records. Baselines: (1) standard thematic analysis baseline (manual themes without governmentality-informed coding); (2) unweighted frequency-count baseline of policy keywords; (3) no-exposure null model. MisrecExposure operationalisation: compute code frequencies per 1,000 words, multiply by severity weight (1–3) per code, aggregate across policy and enactment sources into a continuous school-level score normalized 0–100; alternative aggregations tested in ablations. Evaluation metrics: Krippendorff's alpha for intercoder reliability (target ≥0.80); HLM coefficient for MisrecExposure effect on posttest English score controlling pretest (p-value, 95% CI, standardized effect size Cohen's d); SEM fit indices (CFI, TLI, RMSEA; pre-specify acceptable: CFI/TLI ≥0.95, RMSEA ≤0.06); variance explained (R2 at student and school levels); model sensitivity metrics (E-value, Rosenbaum bounds); survey instrument psychometrics: Cronbach's alpha, exploratory/confirmatory factor analysis (CFA), differential item functioning (DIF) tests. Experimental setup: (1) Pilot: translate/back-translate instruments into Bengali, cognitive interviews (n=12), pilot surveys (students n=50); refine items. (2) Coding: train coders 3 weeks, double-code 20% transcripts/documents, compute alpha. (3) Main analysis: link MisrecExposure (academic year t) to student outcomes at t and t+1 using two-level HLM: Outcome_ij = β0 + β1 MisrecExposure_j + β2 Pretest_ij + β3 X_ij + u_j + e_ij; covariates X include age, gender, SES proxy, baseline EAL status. Use cluster-robust SEs and run Monte Carlo power simulations with assumed ICCs (0.05, 0.10) and attrition 15–20%. Software: R (lme4, simr, lavaan), NVivo for qualitative coding. Ablation studies: (A) remove severity weights from MisrecExposure (compare effect sizes); (B) exclude classroom enactment component (use policy texts only); (C) vary temporal lag (lag 0 vs lag 1 year). Report pre-registered analyses and exploratory checks separately.</w:t>
      </w:r>
    </w:p>
    <w:p>
      <w:r>
        <w:t xml:space="preserve"> </w:t>
      </w:r>
    </w:p>
    <w:p>
      <w:pPr>
        <w:pStyle w:val="Heading2"/>
      </w:pPr>
      <w:r>
        <w:t>Risk Factors And Limitations</w:t>
      </w:r>
    </w:p>
    <w:p>
      <w:r>
        <w:t>Small-sample and single-school design limit external generalizability to other regions or school types. Causal inference risk: non-random exposure and unobserved confounders may bias estimates. Measurement risk: mapping heterogeneous local English tests to a common metric can introduce error. Interview and survey responses risk social desirability bias. Translation and transcription errors can affect coding and psychometrics. Intercoder disagreement may reduce reliability if training insufficient. Missing data and attrition (students/parents) may bias results; clustered missingness complicates imputation. Political sensitivity of policy critique could limit access to documents or participant candour. SEM and multilevel models may overfit with limited clusters; small-cluster inference is weak. Ethical risks include protection of minors and sensitive information (migration status). Computational requirements are modest; no major scalability issues, but Monte Carlo power simulations and SEM may need careful tuning.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