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artificial_creativity_testbed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Operationalizing novelty, value, and Bayesian surprise to evaluate whether opaque AI outputs qualify as creative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generative pipeline that maximizes a calibrated multi-term objective combining latent-distance novelty, Bayesian surprise, and a human-trained value predictor will produce outputs rated as more creative by humans than outputs from the same generator without these terms, holding coherence constant.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separates creativity into novelty, value, and surprise and uses metrics such as latent distances, model likelihoods, perplexity, and diversity scores. Recent trends emphasize human-in-the-loop value estimation, novelty-seeking intrinsic rewards, and dual-phase generation (divergent exploration then convergent refinement). Limitations include inconsistent operational definitions across studies, weak validation of automatic proxies against human judgments, sparse cross-domain tests (most work focuses on a single modality), limited robustness of high-dimensional novelty estimators, and a lack of pre-registered human-subject power analyses. Practical weaknesses include failure modes from reward hacking (models optimizing proxies rather than human judgments), unstable covariance estimation for Mahalanobis-like novelty in high dimensions, and few standardized ablation studies tying computational objectives to human-rated creativity.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an AI whose outputs are correlated with human inputs in opaque ways should be considered creative by operationalizing creativity as a composite of novelty, value, and surprise. We propose a testbed that combines (1) a latent-distance novelty estimator, (2) Bayesian-surprise approximated in diffusion models, and (3) a value predictor trained on human ratings, all combined into a multi-term objective used in a dual-phase generation pipeline (divergent exploration, value-guided refinement). The main contribution is a reproducible experimental protocol linking concrete computational objectives to human judgments, including a psychometric annotation plan, pre-registered ablations, and concrete metrics. Expected outcomes are (a) validated automatic proxies that correlate with human creativity ratings, (b) empirical trade-offs among novelty, value, and surprise, and (c) a pre-registered dataset and codebase enabling reproducible evaluation of claims about artificial creativity.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Images: licensed LAION subset filtered for permissive Creative Commons and Wikimedia Commons images; Text: CC-licensed short stories and ROCStories-like corpora; produce dataset manifests with provenance and license fields. Baselines: (A) off-the-shelf generator (Stable Diffusion v1.4 for images; 1.3B GPT-style transformer for text), (B) generator with diversity/max-entropy sampling, (C) generator with only one of the objective terms active (N-only, S-only, V-only), (D) dual-phase pipeline vs single-stage generator. Metrics (automatic): latent Mahalanobis distance (Mahalanobis; Ledoit–Wolf regularized covariance), soft-kNN density, model-based likelihood (1 - p(x|model)), Bayesian surprise S = Σ_t w_t·KL[q(z_t|x_t)||p(z_t)] (explain: KL is a measure of how different two probability distributions are), self-BLEU/diversity, Fréchet Inception Distance (images), perplexity (text). Human evaluation metrics: Likert ratings for novelty, value (separate intrinsic aesthetic and extrinsic utility), and surprise; pairwise forced-choice preference; ICC (intraclass correlation) for reliability; Pearson r between V̂ and human V; AUC for pairwise discrimination. Sample sizes and power: target effect size Cohen's d = 0.5, alpha = 0.05, power = 0.8 implies ≈64 independent observations per condition; with crossed raters×items use pilot Npilot ≈100 raters each rating ~30 items (≈3,000 ratings) to bootstrap V̂; full study Nfull ≈500 raters ×20 items = 10,000 ratings to detect d≥0.5 under mixed-effects variance. Experimental setup: pre-register hypotheses and analysis, run pilot to train value predictor (V̂) from Likert + pairwise labels using multi-head loss (MSE + pairwise logistic + CE), calibrate with temperature scaling; generative models: latent diffusion models with dual-phase loop (divergent maximize α·N+γ·S, refine maximize β·V̂−δ·I where I is incoherence penalty). Ablations: remove each objective term (N, S, V) individually; compare novelty estimators (Mahalanobis vs soft-kNN vs KDE vs graph-based); dual-phase vs single-phase; vary γ to map novelty-surprise trade-off. Statistical analysis: mixed-effects models with random effects for rater and item; report Pearson r(V̂, human), AUC(pairwise), ICC, Cohen's d for main contrasts; report multiple-testing corrections and pre-specified stopping rules. Compute estimates: image pilot ~200–500 GPU-hours on A100-40GB; text pilot ~100–300 GPU-hours on 8×V100; log seeds, checkpoints, and container images; release code and synthetic proxies when licensing disallows raw 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reward-hacking where generators exploit proxies (e.g., maximize latent distance while producing incoherent noise); instability in Mahalanobis-like estimators in high-dimensional latent spaces (poor covariance estimates); approximation error in diagonal-Gaussian KL for Bayesian surprise. Data and evaluation biases: cultural or demographic skews in rater pools affecting value labels; scale-use variability across raters; dataset provenance or license restrictions limiting reproducibility. Scalability and compute: high compute cost for 300-trial hyperparameter search and per-sample Bayesian-surprise computation; memory and time constraints for full covariance KL if needed. Generalization limits: results may not transfer across modalities (image vs text vs music) or across styles and cultures; human judgments of creativity are subjective and may vary by context, reducing universality. Interpretability and epistemic limits: even if outputs score high on operationalized metrics and human ratings, this does not settle philosophical questions about authorship or meaning; the protocol measures perceived creativity, not metaphysical creativity. Legal and ethical constraints: copyright, dataset licensing, and possible cultural-insensitivity in generated outputs may restrict dataset sharing and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