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social_cohesion_africa_measurement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Psychometric and Bayesian small-area measurement of social cohesion in African contexts using household and expert data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Improving measured levels of inclusive identity, interpersonal trust, and cooperation (combined into a single index) causes a measurable reduction in local conflict: a one standard-deviation increase in the index will reduce district-level reported conflict incidents by at least 0.20 standard deviations within one year.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social cohesion with three broad families: (1) household perception surveys (e.g., national public-opinion rounds) that capture trust and belonging but often use ad-hoc items and face cross-language bias; (2) expert-coded institutional indicators that measure state legitimacy and rule-of-law but miss everyday interpersonal relations; and (3) behavioral and ethnographic studies that document cooperation and dispute mechanisms but are small-scale and hard to generalize. Methodological work applies factor analysis and item response theory (IRT) to derive latent scales, and separate literature uses Bayesian hierarchical models for small-area estimation (SAE). Limitations: many modules lack a narrow, operational definition tying identity, trust, and cooperation together; measurement invariance across languages and groups is often untested or fails; surveys rarely combine perception, behavior, and administrative anchors; SAE work often lacks thorough prior-sensitivity simulations for low-sample areas; and ethics/data-sovereignty and community validation are under-specified.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develops and tests a replicable measurement pipeline to estimate social cohesion across African contexts using household and expert data. We treat social cohesion as three operational attributes — inclusive identity, interpersonal trust, and cooperation — and construct short, validated survey subscales. We combine psychometric methods (confirmatory factor analysis and item response models) to produce person-level scores and then apply Bayesian hierarchical small-area estimation to produce district-level maps that integrate Afrobarometer household responses and V-Dem institutional indicators. The pilot includes behavioral validation (simple incentivized trust/reciprocity games) and ethnographic cognitive testing in Ghana and Kenya. Main contributions are: (1) a compact, cross-language-validated core module; (2) a reproducible psychometric-to-SAE pipeline with pre-specified decision rules; and (3) open analysis scripts and pre-registered thresholds for invariance and SAE readiness. Expected outcome: a transparent, testable method to produce locally actionable social cohesion estimates that link perceptions, behaviors, and institutions while documenting limits on comparability and ethical governance.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Afrobarometer household survey (latest two rounds where available) for national-level item distributions; V-Dem expert indicators for institutional measures; pilot primary data collected in Ghana and Kenya (n≈600 per country, multistage clusters; behavioral subsample n≈150 per country); administrative benchmarks (service wait times, grievance counts) from local authorities. Baselines: (A) existing Afrobarometer-derived single-item trust measures; (B) equal-weighted composite of core items; (C) institutional-only index from V-Dem. Metrics: psychometric fit (CFI, TLI, RMSEA), reliability (McDonald’s omega), IRT discrimination and item information, differential item functioning (DIF) measured by ΔCFI&gt;0.01 and IRT likelihood-ratio tests, SAE accuracy (RMSE, mean absolute error, 95% posterior interval coverage), predictive validity (Pearson/Spearman correlation of area estimates with administrative conflict incidents; AUC for classification of high-conflict areas), behavioral validation (correlation and regression of index with trust-game transfers), and small-sample MDEs. Experimental setup: 1) Cognitive interviews (≥50 per language/site) to refine items. 2) Pilot survey fielding (n≈600) with cluster GPS (cluster-level only). 3) Psychometric pipeline: ordered-categorical CFA (software: lavaan, estimator = WLSMV) for configural→metric→scalar invariance; IRT graded-response models (software: mirt) for item parameters. 4) Composite scoring: compare equal-weight, CFA factor scores, and Bayesian SEM (brms/rstan) in an ablation study. 5) SAE: hierarchical Bayesian model with CAR spatial prior (Stan/INLA/BRMS) and covariates (population density, poverty index, conflict history); run simulation scenarios varying area n (30, 60, 100) and auxiliary R2 (0.2, 0.4, 0.6). 6) Behavioral validation: pre-registered trust game script, randomized order, immediate payments; analyze using cluster-robust regressions. Ablation studies: (i) drop inclusive-identity items, (ii) drop institutional items, (iii) vary weighting method; report changes in predictive validity and SAE RMSE. Reproducibility: all code in public repo with Docker/renv environment and pre-registered decision tree for composite selection.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Noninvariance: items may not be comparable across languages/groups, preventing cross-area scores. Low item discrimination: some items may not measure latent traits well, reducing reliability. Small-area sparsity: many districts may have too few observations for stable SAE; auxiliary covariates may explain too little variance. Prior sensitivity: Bayesian SAE results can depend on prior choices and spatial model form. Behavioral noncompliance: participants may not engage with games or payments, biasing validation. Administrative data gaps: benchmarks may be missing or inconsistent. Ethical risks: sensitive questions could trigger harm or disclosure; GPS data can deanonymize participants if mismanaged. Governance: legal/data-sovereignty constraints may limit data sharing. Compute/time limits: Bayesian models and simulations require substantial compute and slow convergence for complex spatial models. Generalization limits: pilot results from Ghana and Kenya may not generalize to all African settings with different institutions or historical legacies.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