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when_do_we_experience_effort</w:t>
      </w:r>
    </w:p>
    <w:p>
      <w:r>
        <w:t xml:space="preserve"> </w:t>
      </w:r>
    </w:p>
    <w:p>
      <w:pPr>
        <w:pStyle w:val="Heading2"/>
      </w:pPr>
      <w:r>
        <w:t>Title</w:t>
      </w:r>
    </w:p>
    <w:p>
      <w:r>
        <w:t>Hierarchical Bayesian multimodal study of when subjective effort arises during decision, execution, and feedback</w:t>
      </w:r>
    </w:p>
    <w:p>
      <w:r>
        <w:t xml:space="preserve"> </w:t>
      </w:r>
    </w:p>
    <w:p>
      <w:pPr>
        <w:pStyle w:val="Heading2"/>
      </w:pPr>
      <w:r>
        <w:t>Short Hypothesis</w:t>
      </w:r>
    </w:p>
    <w:p>
      <w:r>
        <w:t>Trial-wise increases in midfrontal theta power and pupil dilation during the cue and decision (accumulation) phases cause higher subsequent subjective effort ratings by indexing early and updating bodily cost signals that are integrated into control allocation, independent of objective task difficulty and motor demand.</w:t>
      </w:r>
    </w:p>
    <w:p>
      <w:r>
        <w:t xml:space="preserve"> </w:t>
      </w:r>
    </w:p>
    <w:p>
      <w:pPr>
        <w:pStyle w:val="Heading2"/>
      </w:pPr>
      <w:r>
        <w:t>Related Work</w:t>
      </w:r>
    </w:p>
    <w:p>
      <w:r>
        <w:t>Existing approaches explain effort as (a) a scalar cost or opportunity cost subtracted from reward (static cost models), (b) resource depletion or limited-capacity accounts, or (c) arousal-driven effects where autonomic signals alone explain effort. Work using accumulation or drift-diffusion models links decision timing to valuation but typically treats effort cost as a fixed parameter per trial. Neuroimaging studies implicate vmPFC/ventral striatum in valuation, dACC/anterior insula in control/cost signaling, and motor/posterior insula in execution/interoception, but few studies integrate these systems across time within single trials. Limitations: static cost models ignore within-trial temporal dynamics; resource models are underspecified mechanistically and conflate subjective feeling with objective capacity; arousal-only models risk circularity by equating autonomic change with effort without testing mediation; multimodal work often averages across trials losing trialwise variance; and humanities-style complex stimuli (e.g., close reading, creative writing) are underrepresented, so current methods do not resolve when subjective effort emerges or how early physiological signals drive it.</w:t>
      </w:r>
    </w:p>
    <w:p>
      <w:r>
        <w:t xml:space="preserve"> </w:t>
      </w:r>
    </w:p>
    <w:p>
      <w:pPr>
        <w:pStyle w:val="Heading2"/>
      </w:pPr>
      <w:r>
        <w:t>Abstract</w:t>
      </w:r>
    </w:p>
    <w:p>
      <w:r>
        <w:t>We address when subjective effort is experienced by testing whether effort arises from resisting directed, valenced bodily signals that are represented early and updated through decision and execution. We combine behavioral tasks (parametric physical and cognitive effort, and humanities-style text tasks), high-density EEG, pupillometry, and fMRI with hierarchical Bayesian time-varying accumulation models (an accumulation model is a decision model where evidence builds over time). The main contribution is a preregistered, multimodal pipeline that treats effort as a temporally extended cost signal: physiological markers (midfrontal theta, pupil) are used as trialwise modulators of a latent control-allocation decision variable and linked to single-trial BOLD (blood-oxygen-level-dependent) responses. Expected outcomes are (1) demonstration that early cue-locked physiological signals predict later subjective effort independent of task difficulty, (2) localization of early cost encoding to insula/dACC and later integration in vmPFC/striatum, and (3) model evidence favoring time-varying cost over static cost or arousal-only accounts. Results will clarify when and how felt effort emerges and provide reproducible analysis standards for multimodal studies.</w:t>
      </w:r>
    </w:p>
    <w:p>
      <w:r>
        <w:t xml:space="preserve"> </w:t>
      </w:r>
    </w:p>
    <w:p>
      <w:pPr>
        <w:pStyle w:val="Heading2"/>
      </w:pPr>
      <w:r>
        <w:t>Experiments</w:t>
      </w:r>
    </w:p>
    <w:p>
      <w:r>
        <w:t>Datasets: Collect human participant data with core sample N=60 (within-subject EEG + behavioral; subset N=20 MEG; all N=60 separate fMRI session). Pilot simultaneous EEG–fMRI N=10. Tasks: (1) Effort-discounting binary choices with parametrically varied reward and effort levels: physical effort via calibrated handgrip force; cognitive effort via adaptive N-back or response-conflict trials. (2) Continuous execution blocks (sustained grip) with intermittent subjective effort slider (0–100). (3) Humanities-style paradigms: graded close reading (3 levels of syntactic/semantic demand), timed creative writing under constraints, and interpretive analysis under ambiguity. Trials: ≥80 informative choice trials per participant per main task; blocks of 15–20 trials; within-trial phases: cue (anticipation), decision/accumulation, execution, feedback. Jitter: cue→decision 1–2 s uniform jitter; decision→execution 0.5–1.5 s. Baselines: (A) static effort-cost models (linear and hyperbolic discounting), (B) decision-difficulty null (value-gap model), (C) arousal-only model where pupil/theta alone predict effort. Primary model: hierarchical Bayesian time-varying accumulation-to-bound model (a drift-diffusion family where drift rate and cost sensitivity evolve across cue→execution). Model priors: group effects ~ Normal(0,0.5); subject SDs ~ half-Cauchy(0,1); correlation priors LKJ(2). Preprocessing and QC: fMRI physiological correction RETROICOR (cardiac/respiration) and aCompCor (noise from white matter/CSF); motion denoising ICA-AROMA and scrubbing at FD&gt;0.5 mm; exclude subjects with &gt;20% high-motion volumes. Single-trial fMRI: ridge-regularized GLM with trialwise regressors for cue/decision/execution/feedback; exclude trial betas with tSNR&lt;50 or beta SE &gt;3 SD. EEG: 64–128 channels, average reference (explain: each channel referenced to the average of all channels), bad-channel interpolation if channel has &gt;20% bad epochs, ICA for artifact removal with automated component labeling (e.g., ICLabel) and epoch rejection at amplitude ±200 µV; exclude subjects with &gt;25% rejected trials. Cross-modal integration: primary fusion is a hierarchical joint model that uses trialwise EEG midfrontal theta power and pupil dilation as modulators of time-varying drift rate and threshold; secondary analyses: (1) EEG-informed fMRI (use trialwise theta/CNV as parametric modulators in fMRI GLMs), (2) mediation tests where dACC mediates effect of EEG/pupil on choice. Evaluation metrics: predictive accuracy (k-fold cross-validation; report LOO/WAIC), model comparison (Bayes factors; require BF&gt;6 for substantial evidence), parameter recovery metrics (bias, RMSE, 95% credible interval coverage), percentage model-recovery success (target ≥80% for critical parameters), behavioral metrics (choice prediction AUC, RT mean squared error), neural metrics (correlation r between physiology and model parameters; target detect r≥0.10–0.15). Ablations: (A) remove time-varying cost (static cost only), (B) remove EEG regressors (pupil-only), (C) remove pupil regressors (EEG-only), (D) alternative preprocessing pipelines (no ICA-AROMA vs ICA-AROMA) to test sensitivity. Reporting: preregister primary contrasts (EEG/pupil → subjective effort during cue and accumulation; dACC mediation), family-wise error control across modalities using ROI-first hierarchy (primary ROIs: vmPFC, ventral striatum, dACC, anterior/posterior insula, SMA) and cluster-FWE p&lt;0.05 for exploratory whole-brain; EEG/MEG use cluster-based permutation tests. Computational resources: provide container image and exact software versions; reserve cluster with 32 cores/128 GB RAM for hierarchical fits. Deliverables: simulation power curves mapping effect sizes to N and trial counts; model recovery report with bias/RMSE/coverage.</w:t>
      </w:r>
    </w:p>
    <w:p>
      <w:r>
        <w:t xml:space="preserve"> </w:t>
      </w:r>
    </w:p>
    <w:p>
      <w:pPr>
        <w:pStyle w:val="Heading2"/>
      </w:pPr>
      <w:r>
        <w:t>Risk Factors And Limitations</w:t>
      </w:r>
    </w:p>
    <w:p>
      <w:r>
        <w:t>Technical failures: simultaneous EEG–fMRI may yield low EEG SNR (signal-to-noise), reducing ability to use theta as regressor; MEG access may be limited. Measurement noise: pupil and HR are affected by lighting and respiration; subjective effort reports are noisy and susceptible to demand effects. Motion and physiology: high motion or poor physiological recordings can reduce usable trials and bias single-trial fMRI estimates. Small effect sizes: brain–behavior correlations of r=0.10–0.15 require large samples to detect reliably; N=60 may be underpowered for individual-difference claims. Modeling limits: time-varying accumulation models may be nonidentifiable without sufficient trials; hierarchical fits are compute-intensive. Generalization: results from lab-calibrated handgrip and humanities stimuli may not generalize to real-world effort or other populations. Safety and logistics: pharmacology and TMS pilots require medical approvals and may have exclusion criteria that limit recruitment. Data governance and reproducibility: de-identification may limit sharing of precise timing/physiology; large storage and compute needs may constrain open release of full raw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