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history_therapy_rht</w:t>
      </w:r>
    </w:p>
    <w:p>
      <w:r>
        <w:t xml:space="preserve"> </w:t>
      </w:r>
    </w:p>
    <w:p>
      <w:pPr>
        <w:pStyle w:val="Heading2"/>
      </w:pPr>
      <w:r>
        <w:t>Title</w:t>
      </w:r>
    </w:p>
    <w:p>
      <w:r>
        <w:t>A manualized history-therapy intervention using archival-informed narrative re-authoring to improve psychological well-being among research professionals</w:t>
      </w:r>
    </w:p>
    <w:p>
      <w:r>
        <w:t xml:space="preserve"> </w:t>
      </w:r>
    </w:p>
    <w:p>
      <w:pPr>
        <w:pStyle w:val="Heading2"/>
      </w:pPr>
      <w:r>
        <w:t>Short Hypothesis</w:t>
      </w:r>
    </w:p>
    <w:p>
      <w:r>
        <w:t>Research professionals who receive the archival-informed history-therapy intervention will have greater improvement in WHO-5 well-being scores at 6 months post-intervention than matched participants who receive manualized supportive counseling.</w:t>
      </w:r>
    </w:p>
    <w:p>
      <w:r>
        <w:t xml:space="preserve"> </w:t>
      </w:r>
    </w:p>
    <w:p>
      <w:pPr>
        <w:pStyle w:val="Heading2"/>
      </w:pPr>
      <w:r>
        <w:t>Related Work</w:t>
      </w:r>
    </w:p>
    <w:p>
      <w:r>
        <w:t>Existing approaches combine narrative therapy, life-review, meaning-centered therapy, and autobiographical memory reconsolidation techniques to improve meaning and mood. Expressive writing and life-review trials show small-to-moderate gains in well-being but rarely integrate curated historical artifacts. Public history and archival-engagement practices foster identity and belonging in nonclinical settings but lack randomized evaluation for therapeutic effects. Automated text tools (LIWC) and narrative-coherence coding measure process changes but are underused alongside clinical outcomes. Limitations: prior methods are not manualized with clear fidelity rules linking archival materials to therapeutic tasks; few studies test mechanism (e.g., narrative coherence as mediator); safety and governance for public-facing artifacts are not standardized; new constructs (archival engagement, disciplinary legitimacy) lack validated scales; therapist and artifact clustering effects are often unaddressed.</w:t>
      </w:r>
    </w:p>
    <w:p>
      <w:r>
        <w:t xml:space="preserve"> </w:t>
      </w:r>
    </w:p>
    <w:p>
      <w:pPr>
        <w:pStyle w:val="Heading2"/>
      </w:pPr>
      <w:r>
        <w:t>Abstract</w:t>
      </w:r>
    </w:p>
    <w:p>
      <w:r>
        <w:t>Problem: Researchers and research professionals often face identity disruption, career setbacks, and moral/ethical dilemmas that reduce psychological well-being; existing therapies rarely use disciplinary history to catalyze meaning-making. Approach: We propose a manualized History Therapy (HT) intervention that integrates curated archival artifacts (e.g., grant milestones, lab notes, public records) with structured narrative elicitation and re-authoring across 8 weekly sessions. Main contribution: HT operationalizes artifact-based prompts, safety and consent tiers for archival materials, fidelity instruments, and novel self-report scales for archival engagement and disciplinary legitimacy. Evaluation: a randomized pilot compares HT with an active supportive counseling control and an ablated HT-without-artifacts arm, using WHO-5 as the primary outcome at 6 months and narrative-process metrics as mediators. Expected outcome: HT will produce larger, sustained improvements in well-being and increase narrative coherence and archival engagement, clarifying whether archival artifacts provide added therapeutic benefit. Impact: empirical evidence to support a safe, replicable, and ethically governed intervention linking research history and mental health.</w:t>
      </w:r>
    </w:p>
    <w:p>
      <w:r>
        <w:t xml:space="preserve"> </w:t>
      </w:r>
    </w:p>
    <w:p>
      <w:pPr>
        <w:pStyle w:val="Heading2"/>
      </w:pPr>
      <w:r>
        <w:t>Experiments</w:t>
      </w:r>
    </w:p>
    <w:p>
      <w:r>
        <w:t>Datasets and samples: 1) Pilot RCT: N=90 (30 per arm) adults with current/recent research-career involvement; 2) Randomized pilot/feasibility: N=120–180; 3) Psychometric sample for new scales: EFA N&gt;=200, CFA N&gt;=300. Inclusion: age&gt;=18, English fluency (or language-adapted arm), active/recent research role, capacity to consent. Exclusion: active psychosis, uncontrolled substance dependence, high suicidal intent, severe cognitive impairment. Arms: A = Full HT (8 sessions, archival artifacts + narrative re-authoring), B = HT-no-artifacts (same manual but without curated artifacts), C = Supportive counseling (dose-matched active control). Baselines and repeated measures: WHO-5 (primary), MLQ (meaning), PHQ-9, GAD-7, session-by-session distress/meaning item, Narrative Coherence coding, McAdams agency/communion, LIWC (automated text features), Archival Engagement Scale, Disciplinary Legitimacy Scale. Evaluation metrics: primary = change in WHO-5 from baseline to 6 months; secondary = MLQ, PHQ-9, GAD-7, narrative coherence, LIWC indices, archival-engagement scores, adverse events incidence, fidelity scores, retention. Experimental setup: individual randomization stratified by site and career stage; assessors blinded to arm; therapist modeled as random effect. Sample-size scenarios: detect d=0.45 (conservative) and d=0.60 (optimistic) using mixed-effects models with random intercepts. Analysis: linear mixed-effects models (random intercepts for participant and therapist; explanation: these models account for repeated measures and grouping by therapist), multiple imputation for missing data, preplanned mediation test of narrative coherence (bootstrap CIs), and moderator tests (baseline distress, archival engagement). Ablation study: compare A vs B to isolate artifact-specific effect. Baselines for comparison: supportive counseling (C) and HT-no-artifacts (B). Rater training: calibrate coders on 30 recorded sessions; target ICC&gt;=0.75 (ICC explains how much raters agree).</w:t>
      </w:r>
    </w:p>
    <w:p>
      <w:r>
        <w:t xml:space="preserve"> </w:t>
      </w:r>
    </w:p>
    <w:p>
      <w:pPr>
        <w:pStyle w:val="Heading2"/>
      </w:pPr>
      <w:r>
        <w:t>Risk Factors And Limitations</w:t>
      </w:r>
    </w:p>
    <w:p>
      <w:r>
        <w:t>Clinical risks: structured recall of career trauma may increase transient distress or suicidality in some participants. Governance risks: archival artifacts may contain third-party identifiers or sensitive data that complicate consent and public dissemination. Measurement risks: WHO-5 may not capture domain-specific meaning gains; newly developed scales may require substantial validation and may show DIF (different functioning across groups). Design risks: therapist and artifact clustering can inflate Type I error if not modeled; contamination across arms if participants share materials. Generalization limits: sample restricted to research professionals limits applicability to other populations. Resource limits: curated artifact preparation and redaction are time- and cost-intensive, limiting scalability. Statistical limits: small pilot sizes reduce power to detect mediation effects and may give unstable psychometric estimates. Technical limits: LIWC and automated text tools simplify language features but cannot fully capture nuanced meaning shifts.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