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pygmalion_ai_narrative_causal</w:t>
      </w:r>
    </w:p>
    <w:p>
      <w:r>
        <w:t xml:space="preserve"> </w:t>
      </w:r>
    </w:p>
    <w:p>
      <w:pPr>
        <w:pStyle w:val="Heading2"/>
      </w:pPr>
      <w:r>
        <w:t>Title</w:t>
      </w:r>
    </w:p>
    <w:p>
      <w:r>
        <w:t>Mixed-method causal analysis of how cultural narratives and regulatory policies shape AI research trajectories and public perception</w:t>
      </w:r>
    </w:p>
    <w:p>
      <w:r>
        <w:t xml:space="preserve"> </w:t>
      </w:r>
    </w:p>
    <w:p>
      <w:pPr>
        <w:pStyle w:val="Heading2"/>
      </w:pPr>
      <w:r>
        <w:t>Short Hypothesis</w:t>
      </w:r>
    </w:p>
    <w:p>
      <w:r>
        <w:t>A rise in media and policy 'threat' narratives about AI causes a measurable decrease in open-science disclosures and an increase in defense-oriented AI project launches within 12 months, conditional on regional regulatory stringency.</w:t>
      </w:r>
    </w:p>
    <w:p>
      <w:r>
        <w:t xml:space="preserve"> </w:t>
      </w:r>
    </w:p>
    <w:p>
      <w:pPr>
        <w:pStyle w:val="Heading2"/>
      </w:pPr>
      <w:r>
        <w:t>Related Work</w:t>
      </w:r>
    </w:p>
    <w:p>
      <w:r>
        <w:t>Existing work splits into three strands: (1) media and framing studies that show how language shapes public opinion but often use small samples or single-country datasets; (2) computational framing and metaphor detection that apply supervised classifiers or topic models to detect frames but rarely link frames to downstream organizational behavior; (3) policy and innovation studies that examine how regulation affects research incentives using econometric methods but typically ignore cultural narrative channels. Limitations across these approaches include siloed data sources (media vs policy vs R&amp;D), limited multilingual lexica, weak causal identification (correlation-only or underpowered IVs), scarce reproducibility artifacts (no shared codebooks or synthetic data), insufficient bot/provenance controls in social data, and poor treatment of mediator variables like agentivity (who is described as acting). These gaps prevent robust, cross-regional causal claims about narrative → policy → research outcomes.</w:t>
      </w:r>
    </w:p>
    <w:p>
      <w:r>
        <w:t xml:space="preserve"> </w:t>
      </w:r>
    </w:p>
    <w:p>
      <w:pPr>
        <w:pStyle w:val="Heading2"/>
      </w:pPr>
      <w:r>
        <w:t>Abstract</w:t>
      </w:r>
    </w:p>
    <w:p>
      <w:r>
        <w:t>This study measures whether and how cultural narratives and regulatory policies causally shape AI research choices and public perception. We combine a multilingual annotated corpus of media, policy texts, and film scripts with structured datasets of grants, patents, and project disclosures. We create reproducible composite indices (narrative presence, valence, agentivity) and apply pre-registered causal designs: event-study around policy shocks, instrumental-variable tests (using exogenous policy timing), and mediation analysis via structural equation models (SEM). We also build an agent-based model (ABM) to simulate micro-level interactions between funders, researchers, and narrative influencers. Main contributions are: a versioned codebook and multilingual lexica, validated classifiers for narrative labels, and quantitative estimates of causal pathways linking narratives and policy to measurable changes in disclosure and project orientation. Expected outcomes include auditable measures of narrative influence, policy-relevant effect sizes, and open reproducible artifacts to support further research and governance deliberation.</w:t>
      </w:r>
    </w:p>
    <w:p>
      <w:r>
        <w:t xml:space="preserve"> </w:t>
      </w:r>
    </w:p>
    <w:p>
      <w:pPr>
        <w:pStyle w:val="Heading2"/>
      </w:pPr>
      <w:r>
        <w:t>Experiments</w:t>
      </w:r>
    </w:p>
    <w:p>
      <w:r>
        <w:t>Datasets: (a) news and opinion articles (English, Mandarin, Spanish, Hindi) — target 100k documents per language; (b) national and subnational policy texts and procurement notices — 5k documents per region; (c) film synopses and screenplays corpus — 2k items; (d) R&amp;D outcomes: grant records, patent filings, GitHub repo metadata, and public project disclosures — 50k records; (e) social media samples: Twitter/X and Weibo streams — 1M posts. Baselines: (1) unigram sentiment/topic-count baseline for narrative presence; (2) off-the-shelf topic models (LDA) for frame detection; (3) narrative-count method without agentivity mediator. Annotation/Evaluation metrics: narrative detection precision/recall/F1; Cohen's kappa or Krippendorff's alpha for human inter-annotator reliability; classifier calibration (Brier score); causal metrics: average treatment effect (ATE) with 95% CI from event-study and IV; mediation effect sizes from SEM; ABM outputs: change in proportion of open vs closed projects over simulated time. Experimental setup: double-code 25% of annotated sample; train supervised classifiers with active learning; compute composite indices as pre-specified formulas; run event-study around pre-registered policy shock windows with region and time fixed effects; implement IV using exogenous policy enactment timing (first-stage F&gt;10 requirement); run Bayesian SEM for mediation (agentivity and valence as mediators); calibrate ABM parameters to observed time-series and run counterfactual scenarios. Ablation studies: (A) drop agentivity mediator to measure mediation loss; (B) disable bot-filtering to test provenance sensitivity; (C) single-language vs multilingual lexicon to test cross-language robustness. Report power analysis for IV and event-study with minimum detectable standardized effect size = 0.1 at 80% power.</w:t>
      </w:r>
    </w:p>
    <w:p>
      <w:r>
        <w:t xml:space="preserve"> </w:t>
      </w:r>
    </w:p>
    <w:p>
      <w:pPr>
        <w:pStyle w:val="Heading2"/>
      </w:pPr>
      <w:r>
        <w:t>Risk Factors And Limitations</w:t>
      </w:r>
    </w:p>
    <w:p>
      <w:r>
        <w:t>Annotation risk: low inter-annotator agreement on metaphors and agentivity can invalidate indices (technical failure). Classifier risk: poor precision/recall in low-resource languages and domain shifts reduces validity. Causal risk: invalid instruments or unobserved confounders can bias IV and event-study estimates. Data bias: media ownership, sampling bias, and astroturfing/bots can distort narrative prevalence. Cross-language drift: lexica and semantics may not align, reducing comparability. Privacy and access: restricted or sensitive policy and social data may limit dataset size and reproducibility. Compute and scale: calibrating ABM and Bayesian SEM may be compute-intensive and slow. Generalization limits: regional, sectoral, and time-bound dynamics may not transfer to other contexts. Synthetic data risk: differential-privacy noise (epsilon choice) may reduce analytic utility. These constraints may limit the strength and external validity of causal claims.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