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peircean_semiosis_hall_of_mirrors</w:t>
      </w:r>
    </w:p>
    <w:p>
      <w:r>
        <w:t xml:space="preserve"> </w:t>
      </w:r>
    </w:p>
    <w:p>
      <w:pPr>
        <w:pStyle w:val="Heading2"/>
      </w:pPr>
      <w:r>
        <w:t>Title</w:t>
      </w:r>
    </w:p>
    <w:p>
      <w:r>
        <w:t>Operationalizing Peircean semiosis to test and mitigate the hall-of-mirrors grounding failure in large language models</w:t>
      </w:r>
    </w:p>
    <w:p>
      <w:r>
        <w:t xml:space="preserve"> </w:t>
      </w:r>
    </w:p>
    <w:p>
      <w:pPr>
        <w:pStyle w:val="Heading2"/>
      </w:pPr>
      <w:r>
        <w:t>Short Hypothesis</w:t>
      </w:r>
    </w:p>
    <w:p>
      <w:r>
        <w:t>Anchoring interpretant activations to externally verifiable objects causally increases grounding fidelity and decreases self-referential (mirror-derived) outputs compared to anchoring to corpus-internal (mirror-derived) signals.</w:t>
      </w:r>
    </w:p>
    <w:p>
      <w:r>
        <w:t xml:space="preserve"> </w:t>
      </w:r>
    </w:p>
    <w:p>
      <w:pPr>
        <w:pStyle w:val="Heading2"/>
      </w:pPr>
      <w:r>
        <w:t>Related Work</w:t>
      </w:r>
    </w:p>
    <w:p>
      <w:r>
        <w:t>Existing lines of work include retrieval-augmented grounding (supplying external documents at generation time), sensorimotor grounding (training on paired perception-action data), provenance and source-tracing methods (tracking where model content comes from), chain-of-thought (CoT) style interventions (exposing intermediate reasoning), and interpretability probes such as activation patching and causal tracing. Activation patching means replacing internal activations to test causal effects; causal tracing maps which units influence outputs. Limitations across these approaches are: lack of an agreed operational mapping between internal representations and Peircean sign/interpretant roles; sparse, high-quality provenance corpora; few preregistered causal estimands for mediation; weak instrument validation in prompt-based causal designs; and limited tests for self-referential recursion when training data contain other models' outputs. These gaps make it hard to test whether internal mediation is genuinely grounded in external objects rather than in mirrored corpus signals.</w:t>
      </w:r>
    </w:p>
    <w:p>
      <w:r>
        <w:t xml:space="preserve"> </w:t>
      </w:r>
    </w:p>
    <w:p>
      <w:pPr>
        <w:pStyle w:val="Heading2"/>
      </w:pPr>
      <w:r>
        <w:t>Abstract</w:t>
      </w:r>
    </w:p>
    <w:p>
      <w:r>
        <w:t>Large language models (LLMs) can produce fluent outputs that are poorly grounded in external reality; we call this the hall-of-mirrors problem, where models primarily reflect corpus-internal signals rather than real-world referents. We propose an operational testbed based on Peircean semiosis: define internal signs (short-lived token-linked patterns), interpretants (downstream activation trajectories that mediate generation), and objects (externally verifiable referents). The project develops preregistered causal probes—activation patching variants, embedding substitution, and instrumental-prompt tests—and a provenance-annotated corpus plus synthetic implanted-triad controls. Main contributions are (1) a reproducible mapping from internals to triadic semiosis, (2) mediation estimands and testing procedures that measure whether interpretants anchor to external objects, and (3) an experimental comparison of grounding interventions versus mirror-derived baselines. Expected outcomes are measurable criteria to detect mirror-driven recursion, validated probes that reveal when interpretants are externally anchored, and empirical effect sizes to guide alignment interventions.</w:t>
      </w:r>
    </w:p>
    <w:p>
      <w:r>
        <w:t xml:space="preserve"> </w:t>
      </w:r>
    </w:p>
    <w:p>
      <w:pPr>
        <w:pStyle w:val="Heading2"/>
      </w:pPr>
      <w:r>
        <w:t>Experiments</w:t>
      </w:r>
    </w:p>
    <w:p>
      <w:r>
        <w:t>Datasets: (A) provenance-annotated corpus stratified by domain and source-type (human-authored, model-generated, mixed) with claim-level labels; (B) synthetic implanted-triad dataset where specific prompts map deterministically to an external object; (C) multilingual subset for cross-language checks. Models: LLaMA-7B and LLaMA-13B checkpoints and a small synthetic diagnostic model with known internal triads. Baselines: vanilla model decoding, retrieval-augmented decoding (external documents appended), CoT prompting without grounding, and random-patch control (orthogonal vector patches). Interventions: activation patching methods—(1) deterministic replacement using grounded-context mean activations, (2) additive rank-1 correction estimated by least-squares, (3) stochastic sampling from multivariate activation distribution—applied over temporal windows K∈{3,5,10} and layer ranges pre-specified. Additional probe: embedding-substitution where token embeddings from grounded contexts replace mirror-derived embeddings. Causal tests: instrumental-variable prompts (exogenous prefixes chosen to affect sign S but not object O directly); first-stage F-statistic &gt;10 required. Metrics: Grounding Fidelity (GF) = proportion of claims with verified provenance; Mirror Proportion (MP) = fraction of claims tracing to model-generated sources; mediation estimand (proportion mediated = NIE/TE) with bootstrap CIs; representational-similarity drift (cosine similarity change); logits entropy; hallucination rate; provenance detection AUC. Evaluation: pilot N=200 outputs per condition, full N=1000 outputs per main condition, bootstrap CI and cluster-robust SEs (claims nested in outputs). Ablations: remove each patch method, vary K and layer ranges, compare with retrieval-augmented baseline, and test with/without instrument Z.</w:t>
      </w:r>
    </w:p>
    <w:p>
      <w:r>
        <w:t xml:space="preserve"> </w:t>
      </w:r>
    </w:p>
    <w:p>
      <w:pPr>
        <w:pStyle w:val="Heading2"/>
      </w:pPr>
      <w:r>
        <w:t>Risk Factors And Limitations</w:t>
      </w:r>
    </w:p>
    <w:p>
      <w:r>
        <w:t>IV validity risk: exogenous prompt prefixes may violate the exclusion restriction if they influence outputs through channels other than the candidate sign. Measurement error: adjudicator labels for claim correctness can be noisy and biased, affecting GF and mediation estimates. Dependence structure: claims are clustered within outputs and annotators; incorrect handling can inflate significance. Patch OOD risk: activation replacements can push model states out of the model's native distribution and produce spurious behavior not reflective of in-distribution causality. Adversarial sensitivity: methods may fail under targeted prefix or paraphrase attacks that exploit mirror-content. Scalability limits: high compute required to run activation patching and bootstrapped mediation on large models; results on 7B/13B models may not transfer to much larger models. Provenance constraints: licensing, privacy, and incomplete source records limit provenance coverage. Generalization limits: cross-language, cultural, and domain differences may change sign/interpretant mappings and reduce external validity. Detection limits: partial mediation, correlated confounders, or subtle self-reference may produce weak effect sizes requiring large N to detect.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