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llm_mh_clinical_validation</w:t>
      </w:r>
    </w:p>
    <w:p>
      <w:r>
        <w:t xml:space="preserve"> </w:t>
      </w:r>
    </w:p>
    <w:p>
      <w:pPr>
        <w:pStyle w:val="Heading2"/>
      </w:pPr>
      <w:r>
        <w:t>Title</w:t>
      </w:r>
    </w:p>
    <w:p>
      <w:r>
        <w:t>Evaluation of retrieval-augmented large language models for diagnostic triage and treatment decision-support in mental health care</w:t>
      </w:r>
    </w:p>
    <w:p>
      <w:r>
        <w:t xml:space="preserve"> </w:t>
      </w:r>
    </w:p>
    <w:p>
      <w:pPr>
        <w:pStyle w:val="Heading2"/>
      </w:pPr>
      <w:r>
        <w:t>Short Hypothesis</w:t>
      </w:r>
    </w:p>
    <w:p>
      <w:r>
        <w:t>Fine-tuning a retrieval-augmented large language model (LLM) on clinician-annotated vignettes and applying calibrated probabilistic outputs will achieve diagnostic AUC &gt;= 0.80 and safety-critical sensitivity (suicidality/psychosis) &gt;= 0.80 on a held-out stratified test set, outperforming a baseline logistic regression trained only on structured measures.</w:t>
      </w:r>
    </w:p>
    <w:p>
      <w:r>
        <w:t xml:space="preserve"> </w:t>
      </w:r>
    </w:p>
    <w:p>
      <w:pPr>
        <w:pStyle w:val="Heading2"/>
      </w:pPr>
      <w:r>
        <w:t>Related Work</w:t>
      </w:r>
    </w:p>
    <w:p>
      <w:r>
        <w:t>Prior work splits into rule-based and statistical models using structured scales (for example PHQ-9/GAD-7) and modern LLM-based systems that analyze free text. Statistical models on structured scores typically give good calibration for single disorders but cannot use rich text. LLM approaches can process narratives and generate recommendations, but they suffer from hallucinations (making unsupported claims), poor calibration (probability estimates that do not match real-world rates), and limited evaluation against clinician gold standards. Retrieval-augmented generation (RAG, which adds a document lookup step to ground outputs) reduces unsupported claims but has not been systematically benchmarked against stratified, clinician-annotated test sets with calibrated uncertainty or longitudinal outcomes. Privacy-preserving training (differential privacy and federated learning) has been explored in other domains, but trade-offs between privacy parameters and clinical performance remain under-characterized for mental health tasks. Existing datasets are often small, non-representative, or lack outcome follow-up, limiting evaluation of relapse prediction and treatment recommendation validity.</w:t>
      </w:r>
    </w:p>
    <w:p>
      <w:r>
        <w:t xml:space="preserve"> </w:t>
      </w:r>
    </w:p>
    <w:p>
      <w:pPr>
        <w:pStyle w:val="Heading2"/>
      </w:pPr>
      <w:r>
        <w:t>Abstract</w:t>
      </w:r>
    </w:p>
    <w:p>
      <w:r>
        <w:t>We address the challenge of validating large language models (LLMs) for clinical use in mental health diagnosis, triage, and treatment support. We propose an evaluation framework that fine-tunes a retrieval-augmented LLM on clinician-annotated vignettes and structured measures, calibrates probabilistic outputs, and measures safety-critical detection and citation grounding. The main contribution is an operational, pre-registered validation protocol that includes stratified held-out tests, calibration procedures (temperature scaling and isotonic regression), hallucination/citation metrics based on a gold-standard claim→source set, and privacy experiments using differential privacy (DP) and federated learning. Expected outcomes are: (1) quantification of performance gains from RAG and calibration versus structured baselines, (2) measured privacy-utility trade-offs across DP settings, and (3) reproducible artifacts (evaluation scripts, model cards, synthetic data schemas). This work will deliver concrete, testable thresholds for clinical readiness and an open protocol to improve reproducibility and regulatory alignment.</w:t>
      </w:r>
    </w:p>
    <w:p>
      <w:r>
        <w:t xml:space="preserve"> </w:t>
      </w:r>
    </w:p>
    <w:p>
      <w:pPr>
        <w:pStyle w:val="Heading2"/>
      </w:pPr>
      <w:r>
        <w:t>Experiments</w:t>
      </w:r>
    </w:p>
    <w:p>
      <w:r>
        <w:t>Datasets: (a) STAR*D (de-identified longitudinal depression trial with repeated PHQ-9 and outcomes), (b) DAIC-WOZ / AVEC transcripts and clinician labels (multimodal interview transcripts), (c) Voiceome and CLPsych/eRisk text subsets (naturalistic text with annotations). Create clinician-annotated vignette set from held-out subset with structured labels (DSM/ICD diagnoses, severity, suicidality, psychosis) and a gold-standard claim→source set for citation evaluation (sentence claims paired with exact source passages). Splits: stratified by site, age band, sex/gender, and race/ethnicity; use temporal split for longitudinal tasks (train on earlier timepoints, test on later 20% time). Held-out test set size = 20% overall, minimum N=385 positive cases for primary diagnosis class when possible; report confidence intervals. Baselines: (1) logistic regression on structured measures (PHQ-9/GAD-7), (2) transformer classifier trained only on vignettes without retrieval, (3) retrieval-augmented LLM without calibration, (4) clinician consensus labels as oracle. Model variants: RAG + calibration (temperature scaling), RAG + isotonic regression, RAG without calibration, RAG + DP-SGD at epsilons {0.5,1,3,10}, federated averaging (secure aggregation) across simulated sites. Metrics: AUC (area under ROC), sensitivity/specificity at clinically relevant thresholds, PPV/NPV, calibration metrics (ECE = expected calibration error, Brier score), decision-analytic net benefit, hallucination rate (unsupported clinical claims per 1,000 tokens), citation precision (fraction of claims where matched source passes match-score threshold), and subgroup parity metrics (TPR gap across intersectional groups). Claim extraction and citation scoring: extract sentence-level clinical claims; compute semantic match score using passage embedding cosine similarity + lexical overlap; declare match if score &gt;= 0.75 (on 0-1 scale) or if exact snippet overlap &gt;= 0.5; measure citation precision on gold-standard set. Calibration/Crit: apply temperature scaling (single scalar) and isotonic regression on validation set; report post-calibration ECE and calibration plots. Privacy experiments: DP-SGD with Rényi DP accounting (report epsilon, delta; set delta &lt;=1/N), per-site gradient clipping values {0.5,1.0,2.0}, report AUC loss vs centralized baseline and compute required sample-size inflation to recover baseline performance. Federated setup: 5-10 sites with heterogenous sample sizes; report communication rounds, wall-clock training time, and performance. Ablations: (A) remove retrieval (test hallucination and AUC), (B) calibration on vs off, (C) DP vs non-DP, (D) citation-check enabled vs disabled. Statistical analysis: pre-specify primary endpoint (AUC for primary diagnosis) with two-sided 95% CI, use DeLong test for AUC comparisons, Bonferroni or Holm correction for multiple subgroup tests, and report exact p-values and effect sizes. Reproducibility: release code, model cards, seeded splits, evaluation scripts, and synthetic data schema under data-use agreements.</w:t>
      </w:r>
    </w:p>
    <w:p>
      <w:r>
        <w:t xml:space="preserve"> </w:t>
      </w:r>
    </w:p>
    <w:p>
      <w:pPr>
        <w:pStyle w:val="Heading2"/>
      </w:pPr>
      <w:r>
        <w:t>Risk Factors And Limitations</w:t>
      </w:r>
    </w:p>
    <w:p>
      <w:r>
        <w:t>Technical failures: model hallucinations producing incorrect or harmful clinical claims; miscalibration leading to misleading probabilities; citation matching may miss paraphrased evidence. Data biases: training sets may under-represent racial, cultural, age, socioeconomic, and comorbidity groups, causing unequal performance. Annotation limits: low inter-rater reliability for ambiguous comorbidity or temporal ordering may produce noisy labels. Privacy-utility trade-offs: strong DP (small epsilon) can substantially reduce predictive performance on small datasets. Scalability and compute: fine-tuning large LLMs with RAG and DP accounting requires high compute and memory, limiting replication in low-resource sites. Generalization limits: models trained on trial or interview data may not generalize to routine clinical notes or different languages/cultures. Regulatory and liability constraints: classification as a medical device may require larger validation evidence than available in pilot studies. Evaluation limits: surrogate metrics (AUC) may not reflect patient-centered outcomes like functional recovery.</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