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german_minority_archive_affect</w:t>
      </w:r>
    </w:p>
    <w:p>
      <w:r>
        <w:t xml:space="preserve"> </w:t>
      </w:r>
    </w:p>
    <w:p>
      <w:pPr>
        <w:pStyle w:val="Heading2"/>
      </w:pPr>
      <w:r>
        <w:t>Title</w:t>
      </w:r>
    </w:p>
    <w:p>
      <w:r>
        <w:t>A mixed-methods evaluation of affective, social, and personal impacts of a German minority community archive in Silesia</w:t>
      </w:r>
    </w:p>
    <w:p>
      <w:r>
        <w:t xml:space="preserve"> </w:t>
      </w:r>
    </w:p>
    <w:p>
      <w:pPr>
        <w:pStyle w:val="Heading2"/>
      </w:pPr>
      <w:r>
        <w:t>Short Hypothesis</w:t>
      </w:r>
    </w:p>
    <w:p>
      <w:r>
        <w:t>Participation in archive-based activities causes measurable increases in participants' collective self-esteem and frequency of intergenerational transmission behaviors compared to non-participation.</w:t>
      </w:r>
    </w:p>
    <w:p>
      <w:r>
        <w:t xml:space="preserve"> </w:t>
      </w:r>
    </w:p>
    <w:p>
      <w:pPr>
        <w:pStyle w:val="Heading2"/>
      </w:pPr>
      <w:r>
        <w:t>Related Work</w:t>
      </w:r>
    </w:p>
    <w:p>
      <w:r>
        <w:t>Prior work on community archives and oral history primarily uses small-sample ethnography or descriptive archival practice studies. Quantitative studies of heritage effects often rely on surveys without linking responses to specific archival items. Metadata and digital-preservation research provides robust technical models but rarely captures emotional context or item-level narrative provenance. Collective memory and identity research offers validated psychometric instruments but has limited application in archival intervention studies. Existing mixed-methods projects that combine interviews and digitization commonly lack pre/post measurement, randomization or clear linkage between affective responses and item metadata. Limitations: (1) weak integration between item-level archival metadata and participant-level psychometrics, (2) underpowered quantitative designs for subgroup (generation × migration wave × dialect) contrasts, (3) sparse trauma-informed and consent-granular pipelines in prior digitization studies, and (4) limited reporting of measurement invariance when instruments are translated or adapted.</w:t>
      </w:r>
    </w:p>
    <w:p>
      <w:r>
        <w:t xml:space="preserve"> </w:t>
      </w:r>
    </w:p>
    <w:p>
      <w:pPr>
        <w:pStyle w:val="Heading2"/>
      </w:pPr>
      <w:r>
        <w:t>Abstract</w:t>
      </w:r>
    </w:p>
    <w:p>
      <w:r>
        <w:t>This study measures how engagement with an independent community archive affects affective states, social practices, and personal trajectories among members of the German minority in Silesia. We combine 30–40 stratified life-history interviews, participatory digitization workshops, and a baseline survey (n≈200) with a 6-month follow-up to link item-level archival interactions to validated psychometric outcomes. The approach adds an "affective context" metadata layer to digitized items and pairs it with pre/post measures of collective self-esteem, ethnic identity, nostalgia, and wellbeing. Main contributions: (1) a reproducible mixed-methods protocol that connects emotional metadata to individual outcomes, (2) a pre-registered analysis pipeline for longitudinal mixed-effects models and measurement-invariance testing, and (3) evaluation of participatory governance and consent granularity. Expected outcomes include quantified effect sizes for archive engagement on psychosocial measures, item-level mappings of emotional salience, and operational guidance for ethically balancing access, consent, and preservation in minority archives.</w:t>
      </w:r>
    </w:p>
    <w:p>
      <w:r>
        <w:t xml:space="preserve"> </w:t>
      </w:r>
    </w:p>
    <w:p>
      <w:pPr>
        <w:pStyle w:val="Heading2"/>
      </w:pPr>
      <w:r>
        <w:t>Experiments</w:t>
      </w:r>
    </w:p>
    <w:p>
      <w:r>
        <w:t>Datasets: (A) Life-history interviews N=30–40 stratified by generation (three strata), migration wave, and gender. (B) Baseline survey N=200 (≈65–70 per generation) with follow-up at 6 months; expected follow-up N≈140–160. (C) Digitized item corpus ~500 items with community-tagged "affective context" metadata (valence, salience, intergenerational_relevance). Baselines: (1) waitlist control group (delayed engagement) for workshop/RCT elements; (2) analytic baseline: models without item-level affective metadata; (3) qualitative-only pipeline (interviews only). Evaluation metrics: psychometric scales (Collective Self-Esteem Scale, Multigroup Ethnic Identity Measure, Southampton/Batcho nostalgia items, WHO-5 wellbeing, PANAS affect); effect size (Cohen's d), mixed-effects model coefficients, 95% CI, p-values, measurement invariance fit indices (CFI/TLI, RMSEA), social network metrics (degree, density), thematic code frequencies, inter-rater reliability (Cohen's kappa). Experimental setup: pre-register primary outcomes and covariates; for workshop intervention use random assignment to immediate vs waitlist groups when feasible; otherwise use propensity-score matching. Analysis: longitudinal mixed-effects models with participant random intercepts and fixed effects for time, group, and covariates (age, SES, language use); multiple imputation for missing data (use variables predictive of missingness, m≥20 imputations); CFA and invariance testing across language/generation; social network analysis from self-reported ties and platform logs. Ablation study: compare predictive power of models linking psychometrics to archival engagement with vs without item-level affective metadata; second ablation removes participatory coding to test its contribution. Tools: R (lme4, mice, lavaan), NVivo/ATLAS.ti for qualitative coding, networkx or igraph for SNA. Report sensitivity tables across ICC and attrition scenarios.</w:t>
      </w:r>
    </w:p>
    <w:p>
      <w:r>
        <w:t xml:space="preserve"> </w:t>
      </w:r>
    </w:p>
    <w:p>
      <w:pPr>
        <w:pStyle w:val="Heading2"/>
      </w:pPr>
      <w:r>
        <w:t>Risk Factors And Limitations</w:t>
      </w:r>
    </w:p>
    <w:p>
      <w:r>
        <w:t>Technical failure modes: metadata linking errors, corrupted digitized files, failed fixity checks. Data and evaluation biases: undercoverage of non-users, self-selection bias, social desirability in self-report, translation bias across dialects. Power and inferential limits: baseline n≈200 may be underpowered for fine-grained generation × migration × dialect subgroup tests; measurement invariance may fail, preventing strict comparisons. Privacy and legal risks: re-identification from rich affective/contextual metadata, cross-border GDPR constraints, and limits to true deletion once data propagate. Trauma and ethical limits: interviews may trigger distress; some memories cannot be ethically published. Scalability and sustainability: long-term hosting and preservation costs, staff turnover, and maintenance of thesauri. Reproducibility limits: participatory elements and community governance choices reduce exact reproducibility. Computational limits: storage and compute for high-resolution digitization and preservation manifests. Recruitment and retention: attrition may exceed planned rates, reducing longitudinal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