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impact_vc_ambiguity_tactics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Mixed-methods analysis of how impact venture capitalists tactically navigate definitional ambiguity of social and environmental impact to access new markets, founders, and capital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Impact VC funds that deploy local on-the-ground partners and formal scout networks increase the share of investable founders from underserved markets (measured by deal conversion rate and 24-month portfolio survival) relative to otherwise similar funds that rely on remote-only sourcing.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in impact investing emphasize improved impact metrics, blended-finance instruments, and network-based sourcing. Quantitative work focuses on index construction and advanced impact assessment (building composite scores of social/environmental outputs), while network analyses map referral and co-investment ties. Practitioner literature promotes scout networks and local technical assistance as operational fixes. Limitations: most studies treat 'impact' as a fixed measurable variable rather than a contested, mobilized category; causal inference is weak (few quasi-experimental or IV designs); qualitative everyday practices of VCs and scouts are under-studied; network analyses often ignore sampling bias and hidden nodes; and index choices and weightings are rarely validated against on-the-ground outcomes, producing uncertain links between metrics and real founder access.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investigates how impact venture capitalists (VCs) tactically use contested definitions of social and environmental impact in everyday practices to reach new markets, founders, and capital. We use a mixed-methods design combining semi-structured interviews, fund and deal data, network mapping, and quasi-experimental causal inference. Theoretical framing draws on tactical practice theory to interpret how actors adapt rules and signals in market entry, fundraising, and founder relationships. Main contributions: (1) a reproducible set of indices for impact orientation and market access (with transparent anchors and sensitivity checks), (2) causal tests of sourcing mechanisms (local teams, scouts, blended instruments) using staggered difference-in-differences and instrumental variables where possible, and (3) joint qualitative–quantitative analyses that surface mechanisms and ethical tensions. Expected outcome: clear, testable evidence on which tactical practices increase access to investable founders in underserved regions and how fund messaging and structure influence LP commitment patterns.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fund-level panel (30–40 impact VCs across Africa, S/SE Asia, Latin America, Eastern Europe; annual fund-year records), LP survey responses (15–20), founder/portfolio data (25–30 founders with company outcomes), ecosystem partner rosters (10–15), and public datasets (Crunchbase/PitchBook, DFI rollouts, regional statistics). Baselines: (A) funds without local on-the-ground partners; (B) funds without formal scout/referral programs; (C) return-only thesis funds. Primary evaluation metrics: deal conversion rate (deals sourced -&gt; term sheets signed), proportion of portfolio surviving 24 months, follow-on funding rate, proportion nontraditional founders (women, migrants, first-time), LP onboarding time (days), market-access index (0–1), impact-orientation index (0–1). Technical methods: 1) Staggered difference-in-differences (Callaway &amp; Sant’Anna / Sun &amp; Abraham) on fund-year panel to estimate ATT (average treatment effect on treated). ATT is the estimated change after adopting local partners/scouts. 2) Instrumental variables (IV) where available using exogenous DFI pilot rollout dates or donor eligibility windows as instruments; report first-stage F-stat (&gt;10) and LATE (local average treatment effect). IV: instrument must predict treatment and plausibly not directly affect outcomes (exclusion restriction). 3) Propensity score matching and coarsened exact matching as robustness checks. 4) Network analysis: construct multi-layer networks (fund–founder–partner), compute centrality changes, ERGM/TERGM for tie formation, and mediation tests linking sourcing treatment → network position → portfolio outcomes. ERGM = exponential random graph model (a statistical model for networks). 5) Conjoint/vignette experiments with LPs to test messaging effects on stated willingness-to-commit and commitment size. 6) Ablations: (i) drop local-partner variable from models, (ii) reweight market-access and impact indices using equal weights vs. PCA-derived weights vs. stakeholder-elicited weights, (iii) use synthetic control for region-level shocks. Statistical reporting: ATE/ATT estimates with 95% CIs, p-values, balance tests, sensitivity analyses (Rosenbaum bounds), measurement-error checks (SIMEX), and MNAR sensitivity bounds for missingness. Pre-registration: specify primary estimands (ATT for local-partner treatment; IV-LATE for instrumented take-up), primary metrics, multiplicity correction method (Benjamini-Hochberg for false discovery rate), and go/no-go recruitment thresholds. Power: use simulation-based MDE tables for Nfunds=30–40, T=3–6, ICC range 0.1–0.4; report subgroup MDEs by region and fund type.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Selection bias: funds that adopt local partners or scouts may differ on unobserved traits, limiting causal claims. IV risk: exclusion restriction violations are plausible for DFI rollouts (instrument may affect outcomes through other channels). Measurement error: composite indices rely on imperfect proxies and weight choices that affect classification. Missing data and attrition: small founder sample (25–30) reduces power; nonrandom attrition may bias results. Network bias: snowball sampling can miss hidden nodes and distort centrality measures. Generalizability: findings from selected regions and fund samples may not transfer to other geographies or later stages. Ethical/privacy constraints: LP and fund confidentiality may limit access to raw deal data and reduce analytic granularity. Computational/scale limits: complex network and IV simulations require moderate compute and careful parameter tuning. Causal mediation limits: attributing network-driven causal pathways requires strong assumptions and may not be fully testable with available data.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