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consumption_populism_nlp</w:t>
      </w:r>
    </w:p>
    <w:p>
      <w:r>
        <w:t xml:space="preserve"> </w:t>
      </w:r>
    </w:p>
    <w:p>
      <w:pPr>
        <w:pStyle w:val="Heading2"/>
      </w:pPr>
      <w:r>
        <w:t>Title</w:t>
      </w:r>
    </w:p>
    <w:p>
      <w:r>
        <w:t>Multimodal NLP and causal inference to measure how business leaders' populist rhetoric shapes consumer behavior</w:t>
      </w:r>
    </w:p>
    <w:p>
      <w:r>
        <w:t xml:space="preserve"> </w:t>
      </w:r>
    </w:p>
    <w:p>
      <w:pPr>
        <w:pStyle w:val="Heading2"/>
      </w:pPr>
      <w:r>
        <w:t>Short Hypothesis</w:t>
      </w:r>
    </w:p>
    <w:p>
      <w:r>
        <w:t>Exposure to corporate communications classified as consumption populism causally increases consumer politicalized brand loyalty (measured by willingness-to-pay and repeat-purchase intent) relative to exposure to neutral corporate communications.</w:t>
      </w:r>
    </w:p>
    <w:p>
      <w:r>
        <w:t xml:space="preserve"> </w:t>
      </w:r>
    </w:p>
    <w:p>
      <w:pPr>
        <w:pStyle w:val="Heading2"/>
      </w:pPr>
      <w:r>
        <w:t>Related Work</w:t>
      </w:r>
    </w:p>
    <w:p>
      <w:r>
        <w:t>Existing work falls into two streams: (1) qualitative and discourse studies that map populist logic and affective repertoires in political and cultural texts, and (2) computational approaches that detect political stance, ideology, or propaganda in text and social media using supervised NLP models. Marketing research examines persuasion, brand signaling, and political consumerism but rarely connects these to formal populist grammar. Multimodal classification methods combine text and images for ad and misinformation detection, and cross-lingual pretrained models (e.g., XLM-R) are used to transfer labels across languages. Limitations: prior political-NLP work focuses on party or news texts rather than corporate communications; multimodal corporate datasets are scarce; few studies link classifier-derived exposure to measured consumer behavior causally; annotation efforts are often single-language and underpowered for rare frames like sarcasm; measurement error from imperfect classifiers and platform impression gaps is rarely modeled in causal power analyses.</w:t>
      </w:r>
    </w:p>
    <w:p>
      <w:r>
        <w:t xml:space="preserve"> </w:t>
      </w:r>
    </w:p>
    <w:p>
      <w:pPr>
        <w:pStyle w:val="Heading2"/>
      </w:pPr>
      <w:r>
        <w:t>Abstract</w:t>
      </w:r>
    </w:p>
    <w:p>
      <w:r>
        <w:t>We study "consumption populism": the ways business leaders use populist grammar and affective practices to shape consumption. We combine a multimodal supervised classifier, a validated survey scale, and mixed causal designs to quantify exposure and test behavioral effects. First, we construct a labeled multimodal corpus of corporate communications (CEO letters, ads, social posts, product pages) annotated for five consumption-populism typologies. Second, we train multilingual text+image models and produce an uncertainty-aware person-day exposure metric that aggregates classifier probabilities with impression and recency weights. Third, we run pre-registered causal tests: a randomized ad-buy experiment and quasi-experiments (policy shocks, platform outages) linking exposure to willingness-to-pay and repeat-purchase intent. Main contributions: (i) a reproducible multimodal dataset and codebook for consumption populism, (ii) an uncertainty-propagating exposure measure for causal inference, and (iii) evidence on whether populist corporate messaging alters consumer politicalized loyalty. Expected impact: measurable tools and causal estimates that connect corporate rhetoric to consumer behavior across languages.</w:t>
      </w:r>
    </w:p>
    <w:p>
      <w:r>
        <w:t xml:space="preserve"> </w:t>
      </w:r>
    </w:p>
    <w:p>
      <w:pPr>
        <w:pStyle w:val="Heading2"/>
      </w:pPr>
      <w:r>
        <w:t>Experiments</w:t>
      </w:r>
    </w:p>
    <w:p>
      <w:r>
        <w:t>Datasets: (A) Labeled multimodal corpus: English, Hindi, Spanish corporate messages; target label counts: English 5,000 items, Hindi 3,000 items, Spanish 2,000 items; active-learning addendum: +2,000 difficult items distributed proportional to class rarity. Modalities: raw text, image frames (for posts/ads), and metadata (platform, impressions if available). Pilot labels: 500 items per language to estimate annotation time and class prevalence. Case study dataset: Baba Ramdev corpus (Hindi+English) assembled from public posts, ads, and product pages. Survey dataset: nationally representative panels in two countries with N≥1,500 each for main experiments. Baselines: (1) text-only transformer (fine-tuned BERT/XLM-R), (2) image-only CNN classifier, (3) multimodal transformer (text+image), (4) lexicon-based rule classifier. Evaluation metrics for classifiers: per-class precision, recall, F1, macro-F1, area under precision-recall curve (AUC-PR), expected calibration error (ECE), Brier score. Annotation QC: Krippendorff's alpha target ≥ 0.80. Experimental causal tests: (1) Randomized ad-buy field experiment: cluster-randomize media markets to receive populist-framed vs neutral ads; primary outcomes: willingness-to-pay (WTP) and repeat-purchase intent measured post-exposure; analysis: intent-to-treat (ITT) and average treatment effect (ATE) with cluster-robust SE. (2) Quasi-experiments: difference-in-differences on markets affected by policy shock (e.g., "Made in" subsidy) and instrumented exposure using exogenous platform outages (instrument = outage timing × regional penetration). Causal inference metrics: ATE with 95% CI, p-values, and heterogeneous effects by political alienation. Power and simulation: Monte Carlo power simulations that incorporate classifier measurement error (use classifier reliability r = 0.6..0.9), ICC = 0.01..0.05, and vary effect size d = 0.1..0.3; example target: to detect d=0.20 with classifier reliability 0.8 and ICC 0.02 require ~788 individuals per arm. Ablations: (A) remove image modality to measure image contribution; (B) remove active-learning labels to test label-efficiency; (C) degrade classifier calibration to measure impact on exposure-based causal estimates. Model validation setup: temporal holdout (train up to t0, test on t&gt;t0), cross-lingual transfer test (train on English, fine-tune on small target language), and adversarial human audit on low-confidence and sarcasm cases.</w:t>
      </w:r>
    </w:p>
    <w:p>
      <w:r>
        <w:t xml:space="preserve"> </w:t>
      </w:r>
    </w:p>
    <w:p>
      <w:pPr>
        <w:pStyle w:val="Heading2"/>
      </w:pPr>
      <w:r>
        <w:t>Risk Factors And Limitations</w:t>
      </w:r>
    </w:p>
    <w:p>
      <w:r>
        <w:t>Technical failures: classifiers may fail on sarcastic, highly contextual, or multimodal cues, reducing label reliability. Measurement error: imperfect classifier probabilities cause attenuation bias in causal estimates if not modeled. Data gaps: impression and engagement counts may be missing or inconsistent across platforms; ToS or legal constraints may limit data collection. Scalability and compute: multimodal transformer training across languages requires substantial GPU resources and time. Annotation limits: rare classes and low-resource languages need more labels than planned, increasing cost. Evaluation bias: datasets drawn from specific firms, platforms, or countries may not generalize; cultural meanings of symbols may differ across contexts. Causal identification limits: quasi-experimental instruments (outages, policy shocks) may not be fully exogenous or strong enough. Ethical risks: using exposure metrics and experiments with persuasive messaging raises manipulation concerns for vulnerable groups. Reproducibility limits: proprietary impression data or legal constraints may prevent full public release of raw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