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youtube_ai_detector_advice_analysis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Thematic analysis of YouTube videos to characterize advice about bypassing AI-text detectors and evaluate detector robustness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Monetized tutorial-format YouTube videos increase the probability of presenting permissive detector-resilience claims compared to non-monetized or non-tutorial videos.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splits into two streams: (1) technical evaluations of AI-text detectors using benchmark corpora, which measure detection metrics (e.g., true positive rate) but rarely connect results to real-world creator advice; and (2) qualitative and platform studies of online cheating and educational technology that document norms and guidance but do not systematically map creator advice to detector performance. Limitations: technical studies often evaluate on synthetic or narrow corpora and do not consider multilingual or stylistic variations promoted by creators; qualitative studies lack quantitative linkage to detector behavior and often omit reproducible coding schemas; prior work also rarely pre-specifies small-sample safeguards or formal redaction rules to avoid dual-use. These gaps leave unresolved how creator advice relates to actual detector robustness, how results generalize across languages and genres, and how to report unstable small-cell estimates safely.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analyze how YouTube creators advise students about AI-text detectors and test whether those advice patterns correspond to measurable detector robustness. Using thematic analysis of video transcripts and a clustered quantitative evaluation, we identify advice frames and measure detector performance on redacted, ethically prepared text segments and public corpora. Main contribution: a reproducible pipeline that (a) codes creator advice at timestamped segment level with dual independent coders, (b) defines safe, pre-registered metrics linking advice categories to detector outcomes, and (c) compares multiple robustness index definitions (standard relative drop, stabilized counts, and Bayesian shrinkage) with pre-specified small-sample rules. Expected outcome: an evidence-backed mapping between creator framing (e.g., permissive tutorials) and detector performance under abstract transformation families, plus validated, safety-focused reporting rules for unstable estimates. This work informs educators and platform policy without publishing operational bypass instructions.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primary corpus: 173 YouTube videos' timestamped transcripts (existing); (B) extended corpus target: ≈320 videos across 4–6 languages/genres for quantitative tests; (C) detector benchmarks: public-domain essay and web corpora (e.g., Wikipedia, open academic essays) for baseline detector calibration. Preprocessing: use auto-generated captions with ASR quality thresholds: WER ≤20% before correction and WER ≤15% after human correction. Redaction: replace procedural spans and creator identifiers with tokens; keep high-level codes. Annotation: dual independent coders at segment level; Cohen's kappa target 0.75–0.85; adjudication by senior coder on disagreements. Baselines: (1) representative statistical detector (e.g., n-gram / perplexity-based score), (2) neural likelihood-based detector, (3) ensemble combining both, and (4) human annotator labels on a held-out set. Metrics: prevalence proportion of detector-resilience claims; odds ratios from mixed-effects logistic regressions; ROC AUC (area under the receiver operating characteristic curve; measures classifier discrimination), sensitivity/TPR (true positive rate; fraction of machine-written flagged), specificity (true negative rate), and Robustness Index (RI). RI definition: relative drop in TPR after abstract transformation families (paraphrase, translation, summarization); compute per-video per-family drop d_f(i) = (TPR_baseline(i) − TPR_f(i)) / TPR_baseline(i). Minimum-n rules: require baseline TPR denominator ≥20 and ≥30 clips per transformation family to compute standard RI; if denominator 5–19 apply Haldane correction (+0.5) or report stabilized RI (median or winsorized at 5th/95th percentiles); if &lt;5 mark as insufficient and aggregate or report NA. Statistical models: mixed-effects logistic models for claim presence and for detection outcome with random intercepts (channel, video) and fixed effects monetization, genre, language, log_views, upload_age; pre-specify sensitivity with random slopes for transformation_family. Priors for Bayesian fits: Normal(0,2.5) on log-odds; alternative Normal(0,5) for sensitivity. Resampling and inference: cluster-aware bootstrap with 2000 replicates for CI on RI; report bootstrap failure rate. Comparisons and ablations: (1) compare detector families (statistical vs neural vs ensemble); (2) compare RI estimators (standard relative drop vs stabilized Haldane-corrected vs Bayesian shrinkage); (3) ablation removing monetization from models; (4) leave-one-channel-out influence analysis. Reporting: publish numerators/denominators, CI widths, flagged unstable cells, and decision-tree branch used for each family. Computational notes: include time estimates for 2000 bootstrap reps and Bayesian chains in pipeline documentation.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Disclosure risk: transcripts may include sensitive content; redaction and strict refusal to publish procedural advice are necessary. ASR errors: high word-error rates can bias coding and detector evaluation; languages with poor ASR coverage may be excluded. Sampling bias: YouTube ranking and search strategies may overrepresent viral or English content, limiting generalization to non-Western creators. Small-cell instability: RI and ratio metrics can be unstable when denominators are small, causing wide CIs or misleading relative drops. Model convergence and rare-event separation: logistic models may fail or produce infinite estimates when events are rare or perfectly separated. Compute cost and time: cluster-aware bootstrap (≥2000 replicates) and Bayesian fits require substantial CPU/GPU resources and wall time. Generalization limits: detector performance on redacted or benchmark corpora may not reflect in-the-wild student submissions; multilingual typological differences may change detector behavior. Legal/ethical constraints: platform TOS, IRB decisions, and creator privacy rules may restrict data retention, sharing, or public release of artifacts.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