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swedish_ssh_rec_review_mixed_methods</w:t>
      </w:r>
    </w:p>
    <w:p>
      <w:r>
        <w:t xml:space="preserve"> </w:t>
      </w:r>
    </w:p>
    <w:p>
      <w:pPr>
        <w:pStyle w:val="Heading2"/>
      </w:pPr>
      <w:r>
        <w:t>Title</w:t>
      </w:r>
    </w:p>
    <w:p>
      <w:r>
        <w:t>Mixed-methods study of how ethical review procedures influence research design choices and researcher well-being among Swedish social science and humanities researchers</w:t>
      </w:r>
    </w:p>
    <w:p>
      <w:r>
        <w:t xml:space="preserve"> </w:t>
      </w:r>
    </w:p>
    <w:p>
      <w:pPr>
        <w:pStyle w:val="Heading2"/>
      </w:pPr>
      <w:r>
        <w:t>Short Hypothesis</w:t>
      </w:r>
    </w:p>
    <w:p>
      <w:r>
        <w:t>Higher perceived procedural restrictiveness of ethics review boards causes greater methodological adaptation (changes or removal of methods) and higher research-related stress among Swedish SSH researchers.</w:t>
      </w:r>
    </w:p>
    <w:p>
      <w:r>
        <w:t xml:space="preserve"> </w:t>
      </w:r>
    </w:p>
    <w:p>
      <w:pPr>
        <w:pStyle w:val="Heading2"/>
      </w:pPr>
      <w:r>
        <w:t>Related Work</w:t>
      </w:r>
    </w:p>
    <w:p>
      <w:r>
        <w:t>Existing work on ethical review and research ethics uses mainly: (a) single-method surveys measuring attitudes toward review boards, (b) small qualitative case studies about researcher experiences, and (c) policy analyses of REC guidelines, often in biomedical settings. Limitations in current approaches include narrow disciplinary focus (few SSH studies), small or convenience samples that limit generalization, lack of integrated document analysis linking decision letters to researcher reports, and little use of measurement validation (tests that survey scales work the same across groups). Prior studies rarely combine broad quantitative prevalence estimates with in-depth interviews and REC-document comparisons, and they seldom report formal power/sensitivity analyses or GDPR-aware controlled sharing procedures. These gaps reduce ability to attribute causal effects of review processes on methods and well-being, and they leave disclosure-risk trade-offs under-specified.</w:t>
      </w:r>
    </w:p>
    <w:p>
      <w:r>
        <w:t xml:space="preserve"> </w:t>
      </w:r>
    </w:p>
    <w:p>
      <w:pPr>
        <w:pStyle w:val="Heading2"/>
      </w:pPr>
      <w:r>
        <w:t>Abstract</w:t>
      </w:r>
    </w:p>
    <w:p>
      <w:r>
        <w:t>This study examines whether and how ethics-review procedures shape research design choices and researcher well-being in Swedish social science and humanities (SSH). We will use an exploratory sequential mixed-methods design: a stratified national survey (n=300–400) to measure perceived procedural restrictiveness, time burden, methodological adaptations, and stress, followed by purposive semi-structured interviews (25–40) and 4–6 focus groups to probe mechanisms and examples. We will also analyze anonymized REC decision letters and committee guidelines to compare stated criteria with researcher accounts. Quantitative analysis uses validated scales, confirmatory factor analysis (to check measurement equivalence), and mixed-effects regression (random intercepts for institutions). Qualitative analysis uses reflexive thematic analysis with a documented codebook. The main contribution is integrated, reproducible evidence linking REC procedures to concrete changes in research practice and to researcher stress, plus operational recommendations for REC communication and policy. Expected outcomes are quantified effect estimates, thematic mechanisms, and a policy brief to inform REC reforms.</w:t>
      </w:r>
    </w:p>
    <w:p>
      <w:r>
        <w:t xml:space="preserve"> </w:t>
      </w:r>
    </w:p>
    <w:p>
      <w:pPr>
        <w:pStyle w:val="Heading2"/>
      </w:pPr>
      <w:r>
        <w:t>Experiments</w:t>
      </w:r>
    </w:p>
    <w:p>
      <w:r>
        <w:t>Datasets: (1) National survey of Swedish SSH researchers, stratified by discipline, career stage, and institution type, target n=300–400; measures: perceived procedural restrictiveness (procedural-justice items), Perceived Stress Scale adapted for research, item count of methodological adaptations (e.g., removed interviews, smaller samples), self-reported time delays in days, demographics. (2) Qualitative corpus: 25–40 semi-structured interviews (audio transcripts) and 4–6 focus groups (6–8 participants each). (3) Document set: anonymized REC decision letters and REC guidelines (participant-supplied or institution DPA). Baselines: (A) null regression with demographics only; (B) regression with procedural-justice score but without document-derived predictors; (C) constrained model excluding institution random effects. Evaluation metrics: regression coefficient significance (p-values), effect sizes (Cohen's d or standardized beta), model fit (AIC/BIC, marginal and conditional R^2), intraclass correlation (ICC; measures clustering by institution), CFA fit indices (CFI, RMSEA), Cronbach's alpha (internal consistency; reliability), multiple imputation diagnostics (convergence, fraction of missing information), Cohen's kappa for double-coded transcripts (inter-rater reliability). Experimental setup: pre-register models and contrasts; run simulation-based power analysis (simr in R) to show detectable effects under ICCs 0.01–0.10 and variable cluster sizes; perform CFA and differential item functioning (DIF) checks across discipline and career stage (configural→metric→scalar steps; ΔCFI thresholds). Quantitative modeling: linear mixed-effects models (for continuous outcomes) and logistic mixed models (for binary outcomes) with random intercepts for institution; use multiple imputation by chained equations (MICE) with at least 20 imputations and diagnostics reported. Qualitative analysis: reflexive thematic analysis with starter codebook, double-coding 20% transcripts, memo audit trail; create joint-display matrices linking survey-derived scores to thematic codes. Comparison/ablation studies: (1) full model vs model excluding document-derived predictors to estimate added explanatory power of REC-letter data; (2) mixed-effects model vs fixed-effects-only model to evaluate impact of institution clustering; (3) CFA with full sample vs subgroup samples (early-career vs senior) to detect measurement noninvariance. All analysis scripts and simulated power code will be version-controlled and shared.</w:t>
      </w:r>
    </w:p>
    <w:p>
      <w:r>
        <w:t xml:space="preserve"> </w:t>
      </w:r>
    </w:p>
    <w:p>
      <w:pPr>
        <w:pStyle w:val="Heading2"/>
      </w:pPr>
      <w:r>
        <w:t>Risk Factors And Limitations</w:t>
      </w:r>
    </w:p>
    <w:p>
      <w:r>
        <w:t>1) Response bias and nonresponse: low survey response or skewed respondents (e.g., overrepresentation of dissatisfied researchers) can bias estimates; small subgroup sizes reduce power. 2) Measurement noninvariance: survey scales may not measure constructs the same way across disciplines or career stages, limiting comparisons. 3) Causal inference limits: observational design can show associations but cannot fully prove causation due to unmeasured confounders. 4) Document availability: participants may not provide REC letters or institutions may refuse, reducing ability to link accounts to documents. 5) Disclosure risk: qualitative quotes and REC letters may contain unique details that risk re-identification; redaction reduces richness. 6) Synthetic-quotes trade-offs: creating synthetic anonymized quotes may alter nuance or validity. 7) Legal and GDPR barriers: institutional legal review may require changes to consent or data flows, delaying fieldwork. 8) Scalability and compute: multiple imputation, CFA, and mixed models with simulations require statistical expertise and compute time. 9) Generalization limits: findings from Sweden may not generalize to other legal or institutional contexts. 10) Team and time constraints: extensive redaction, DPIA, and controlled-access processes increase workload and timeline.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