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perception_homogeneity_systemic_risk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perception homogeneity from corporate risk-disclosure texts and quantifying its effect on systemic financial risk via an agent-based contagion model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homogeneity of corporate risk perceptions, inferred from firms' risk-disclosure texts, causally increases system-level financial losses under macro shocks by producing synchronized deleveraging and amplified balance-sheet contagion.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falls into two streams: text-based measures of firm risk perception and systemic-risk/network contagion models. Text-based studies extract sentiment, uncertainty, or risk-factor frequencies from disclosures or calls to proxy firm beliefs; they often validate lexical or embedding-based measures against market volatility or analyst dispersion. Systemic-risk research uses network models, stress tests, and agent-based simulations to map exposures to tail losses, and market-implied measures (CDS, implied vol) to signal distress. Limitations: text studies rarely connect linguistic signals to endogenous contagion channels (fire sales, margining) and often ignore network exposures; systemic models frequently rely on market prices or portfolios and do not incorporate firm-level expectation heterogeneity extracted from texts. Additional gaps include weak identification strategies for separating common information from structural overlap, limited calibration of ABMs with realistic text-derived parameters, sensitivity of network reconstruction to missing data, and emulator generalization across crisis regimes.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method to measure how similar firms' risk perceptions are by mining risk-factor disclosures and to quantify how that similarity affects systemic financial risk using a linked empirical-simulation pipeline. First, we extract multiple textual and market proxies of perceived risk and estimate a low-dimensional homogeneity parameter decomposed into information-signal, cognitive-behavioral, and structural components using a Bayesian hierarchical latent model (a statistical model that pools information across firms and time). Second, we feed posterior draws of these homogeneity components into an agent-based contagion model that converts synchronized perception shifts into asset sales, price impact, and inter-firm loss propagation. The main contribution is an integrated identification, synthetic-data verification, and uncertainty-propagation protocol that yields causal statements about how perception homogeneity amplifies systemic loss metrics (e.g., SRISK, CoVaR). Expected outcomes include quantified amplification elasticities and policy-relevant maps of vulnerability tied to measurable disclosure features.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SEC EDGAR risk-factor sections from annual 10-Ks and MD&amp;A texts; (2) earnings-call transcripts; (3) 13F institutional holdings and vendor holdings where available; (4) TRACE trade data and repo flow proxies; (5) CDS spreads and option-implied volatilities; (6) supervisory counterparty exposure matrices if accessible, otherwise reconstructed exposures. Baselines: A. exposure-only ABM with θ=0 (no perception homogeneity); B. market-implied-only ABM using CDS/vol signals; C. simple-text baseline using mean sentiment only. Estimation: fit a Bayesian hierarchical latent-variable model (latent factors mapped to observed proxies via loadings; AR(1) dynamics for persistence) to estimate θ_info, θ_cog, θ_struc. Identification instruments: staggered disclosure dates and regulatory announcement timing coded with firm-event eligibility rules. Calibration: use simulated method of moments (SMM) / indirect inference to fit ABM nuisance parameters. Evaluation metrics: amplification factor = (systemic loss at estimated θ)/(systemic loss at θ=0); SRISK, CoVaR, DebtRank, system expected shortfall (tail expected loss), time-to-contagion (days until 50% of predicted defaults), estimator bias and RMSE for θ components, credible-interval coverage, emulator OOS RMSE and continuous ranked probability score (CRPS). Experimental setup: (1) Synthetic-DGP recovery: generate DGP families (pure θ_info, θ_cog, θ_struc, mixed) with regime switches and missing edges; report bias, RMSE, coverage. (2) Historical OOS validation: calibrate on pre-crisis window and test prediction on 2007–09, 2011, 2020 episodes. (3) Parameter sweeps: vary θ from 0 to 1 and record nonlinear amplification. (4) Ablations: remove each θ component in turn to measure marginal contribution. (5) Emulator test: compare ensemble emulator outputs to full ABM on held-out scenarios; report OOS RMSE and CRPS. Pre-registered decision rules: require first-stage F&gt;10 or report weak-IV robust estimators (AR/CLR/LIML) and emulator acceptance if OOS RMSE &lt; 0.1×ABM output SD.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validity: disclosure timing or regulatory events may correlate with unobserved firm shocks (violating exclusion). Dynamic confounding and feedback: price-impact loops can create reverse causality where sales drive perceptions, complicating causal claims. Measurement error: text proxies map imperfectly to latent perception components; limited proxies can leave loadings weakly identified. Network reconstruction: missing supervisory edges or biased holdings data can distort contagion paths and amplify sensitivity of system metrics to imputation choices. Emulator extrapolation: surrogate models may fail to generalize to rare crisis regimes, producing misleading uncertainty estimates. Compute and data governance: full calibration requires large compute budgets and possible NDA-limited supervisory data; delays reduce realism. Generalization limits: results may not transfer across jurisdictions, asset classes, or small non-reporting firms. Evaluation bias: historical crises used for validation may not span all relevant shock types, limiting external validity.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