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saudi_21c_integration</w:t>
      </w:r>
    </w:p>
    <w:p>
      <w:r>
        <w:t xml:space="preserve"> </w:t>
      </w:r>
    </w:p>
    <w:p>
      <w:pPr>
        <w:pStyle w:val="Heading2"/>
      </w:pPr>
      <w:r>
        <w:t>Title</w:t>
      </w:r>
    </w:p>
    <w:p>
      <w:r>
        <w:t>A mixed-methods study of English and mathematics teachers' integration of 21st-century skills in Saudi classrooms</w:t>
      </w:r>
    </w:p>
    <w:p>
      <w:r>
        <w:t xml:space="preserve"> </w:t>
      </w:r>
    </w:p>
    <w:p>
      <w:pPr>
        <w:pStyle w:val="Heading2"/>
      </w:pPr>
      <w:r>
        <w:t>Short Hypothesis</w:t>
      </w:r>
    </w:p>
    <w:p>
      <w:r>
        <w:t>Providing teachers with a targeted professional development program on 21st-century skills causes a measurable increase in their classroom integration of creativity, collaboration, critical thinking, and communication compared with teachers who do not receive the program.</w:t>
      </w:r>
    </w:p>
    <w:p>
      <w:r>
        <w:t xml:space="preserve"> </w:t>
      </w:r>
    </w:p>
    <w:p>
      <w:pPr>
        <w:pStyle w:val="Heading2"/>
      </w:pPr>
      <w:r>
        <w:t>Related Work</w:t>
      </w:r>
    </w:p>
    <w:p>
      <w:r>
        <w:t>Prior work on 21st-century skills in schools has used three main approaches: (1) teacher self-report surveys that estimate frequency of practices, (2) classroom observation protocols that code enacted practices, and (3) small-scale qualitative studies exploring teacher beliefs and barriers. Existing survey approaches are often validated in English-speaking contexts and rely on self-report (which can be biased). Observation studies give richer data but are costly and usually small samples, limiting generalization. Qualitative work explains barriers but rarely links claims to validated measures or larger samples. Limitations across prior work include weak cross-group measurement (few tests of measurement invariance), scarce bilingual instrument validation, limited multilevel analyses (teacher within school effects), and little causal evidence from randomized or quasi-experimental PD studies. There is also a gap in research that compares English and mathematics teachers within the same national curriculum and gender-segregated systems.</w:t>
      </w:r>
    </w:p>
    <w:p>
      <w:r>
        <w:t xml:space="preserve"> </w:t>
      </w:r>
    </w:p>
    <w:p>
      <w:pPr>
        <w:pStyle w:val="Heading2"/>
      </w:pPr>
      <w:r>
        <w:t>Abstract</w:t>
      </w:r>
    </w:p>
    <w:p>
      <w:r>
        <w:t>This study addresses how English and mathematics teachers in Saudi Arabia integrate four core 21st-century skills—creativity, collaboration, critical thinking, and communication—into planning, instruction, and assessment. Using a mixed-methods design, the project develops bilingual (Arabic/English) instruments that combine a teacher survey, a behaviorally anchored classroom observation rubric, and student-proximal performance tasks. The main contribution is a validated, policy-relevant evidence package that links observed teacher practices, teacher-reported practices, and short student outcomes while measuring major barriers at teacher, school, and system levels. Expected outcomes include (1) psychometrically tested instruments that support fair comparisons across subjects, school levels, and gender-streams, (2) quantified prevalence and quality of 21st-century skill integration, and (3) prioritized, evidence-based recommendations for professional development and curricular guidance to inform Saudi education policy.</w:t>
      </w:r>
    </w:p>
    <w:p>
      <w:r>
        <w:t xml:space="preserve"> </w:t>
      </w:r>
    </w:p>
    <w:p>
      <w:pPr>
        <w:pStyle w:val="Heading2"/>
      </w:pPr>
      <w:r>
        <w:t>Experiments</w:t>
      </w:r>
    </w:p>
    <w:p>
      <w:r>
        <w:t>Datasets: (1) Pilot sample: ~80 teachers across 8 schools for instrument tuning. (2) Field sample: 60–80 schools, 6–8 teachers per school, total N=400–600 teachers stratified by region, level (primary/intermediate/secondary), subject (English/math), and gender-stream. Student-proximal tasks: 2–4 short curriculum-aligned tasks per subject, administered to 10 students per observed teacher. Baselines: (A) teacher self-report only model, (B) observation-only model, (C) combined survey+observation model. Intervention arm (for hypothesis test): cluster randomized trial on a subset of 40 schools (20 treatment, 20 control) delivering a targeted PD program; pretest and 3-month posttest. Instruments and psychometrics: run exploratory factor analysis (EFA) then confirmatory factor analysis (CFA) on split samples (CFA = confirmatory test of factor structure); compute reliability (Cronbach's alpha, McDonald's omega); run graded-response IRT (item response theory; a method that models how items relate to ability) for item properties; test measurement invariance across subject, level, and gender-stream (configural/metric/scalar steps). Observation coding: double-code 20% of lessons, report inter-rater ICC (intraclass correlation; measures rater agreement). Analysis: primary estimator = multilevel generalized linear mixed model (GLMM; models teachers nested in schools) with cluster-robust SEs for ITT effect on teacher latent integration score. Secondary analyses: CACE via two-stage least squares for compliance. Evaluation metrics: primary = standardized latent teacher integration score (effect size and 95% CI); secondary = student task scores (mean difference), reliability coefficients, CFA fit indices (CFI, RMSEA, SRMR), ICC, percent variance explained. Ablation/comparisons: (1) compare inference using survey-only vs combined survey+observation; (2) compare models with vs without design weights and multilevel multiple imputation; (3) compare bilingual vs single-language scoring for DIF (differential item functioning) impact.</w:t>
      </w:r>
    </w:p>
    <w:p>
      <w:r>
        <w:t xml:space="preserve"> </w:t>
      </w:r>
    </w:p>
    <w:p>
      <w:pPr>
        <w:pStyle w:val="Heading2"/>
      </w:pPr>
      <w:r>
        <w:t>Risk Factors And Limitations</w:t>
      </w:r>
    </w:p>
    <w:p>
      <w:r>
        <w:t>Attrition and access: schools or teachers may drop out, reducing power and creating bias. Measurement bias: social desirability in self-report and observer reactivity during lessons can distort true practice. Translation and DIF: items may work differently in Arabic and English (DIF = items behaving unequally), limiting valid cross-group comparisons. Small cluster counts: if number of schools is low, cluster-robust SEs may be biased and some inferential methods lose accuracy. Student outcome sensitivity: short proximal tasks may not capture complex 21st-century skills fully. Generalizability: results will mainly apply to public schools within sampled regions and may not extend to private or alternative streams. Contamination: spillover between treatment and control schools (shared leaders or teachers) can bias causal estimates. Ethical and cultural constraints: gender-segregated access rules may limit uniform data collection procedures. Resource limits: extensive observation and double-coding are time and cost intensive, which may constrain sample size or coder quality.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