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fuzzy_distinction_taiwan_pa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Fuzzy-distinction based precautionary-area planning for offshore wind farms along western Taiwan using AIS, MGIS, and ecological and hydrological factors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fuzzy-distinction model that fuses AIS-derived shipping density, ecological sensitivity, and wind/hydrological factors will produce precautionary-area maps whose predictive performance for historical maritime incidents and ecological conflicts (measured by PR-AUC) is at least 0.10 higher than maps produced by a conventional weighted-sum multi-criteria zoning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offshore wind spatial planning include crisp exclusion buffers (fixed-distance zones), weighted-sum multi-criteria evaluation (MCE) in GIS, species distribution or habitat-suitability models, Bayesian networks for causal risk, and some fuzzy-logic applications for environmental suitability. Limitations: crisp buffers ignore continuous gradients and uncertainty; weighted-sum MCE produces deterministic outputs with poor uncertainty quantification and depends strongly on ad hoc weights; species models often ignore navigation dynamics (AIS) and hydrodynamic stressors; Bayesian networks handle causality but scale poorly to high-resolution spatial rasters and are sensitive to prior misspecification. Prior fuzzy approaches often use ad hoc membership settings without systematic calibration, limited ensemble uncertainty propagation, and no spatially-local sensitivity (local Sobol/Shapley). Dynamic AIS data and mechanistic submodels (acoustics, collision-risk) are rarely integrated with uncertainty-aware fuzzy systems at operational spatial resolution.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planning of precautionary areas for offshore wind farms along western Taiwan by developing a reproducible fuzzy-distinction pipeline that combines automated ship-navigation data (AIS), marine GIS layers, ecological sensitivity, and wind/hydrological factors. The fuzzy-distinction method maps heterogeneous inputs into graded membership functions (fuzzy sets) and applies an interpretable fuzzy rule base to produce a continuous precaution score per map cell. Key contributions are: (1) calibrated membership functions using fuzzy c-means and expert priors; (2) ensemble uncertainty propagation via Monte Carlo sampling of MF and rule parameters; (3) spatially-local sensitivity maps using conditional Sobol and Shapley decompositions; and (4) integration of mechanistic submodel outputs (acoustic propagation and collision-risk) as fuzzified inputs. Expected outcomes are uncertainty-aware precaution maps, hotspots of dominant uncertainty drivers, and defensible scenario maps (conservative, balanced, permissive) to guide planners. The method aims to increase predictive skill for historical incidents, make trade-offs explicit, and deliver reproducible GIS-ready products for stakeholder use.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AIS tracks (Taiwan Maritime and Port Bureau, 3 years, 5-min pings); high-resolution bathymetry (TORI multibeam); protected areas and MPA polygons (Taiwan EPA); seabird and marine-mammal surveys (BirdLife Taiwan, GBIF, MOE transects); wind and hydrodynamic rasters (ERA5/local models); historical maritime incident records (coast guard). Preprocess: reproject to TWD97, rasterize at 200 m baseline, seasonal slices (winter, spring, summer, construction/typhoon window). Baselines: (A) weighted-sum MCE with expert weights, (B) crisp exclusion-buffer zoning, (C) Bayesian-network risk map, (D) random-forest spatial predictor trained on same inputs. Metrics: PR-AUC (primary), Brier score, Expected Calibration Error (ECE), strict-class recall, spatial RMSE of precaution score P, percent-area change of strict/conditional classes, stability of Sobol indices (Δindex). Experimental setup: run fuzzy-distinction pipeline with MF families (triangular, Gaussian, interval type-2) and calibrate MFs via fuzzy c-means + expert priors. Uncertainty propagation: Monte Carlo N=1,000 for rapid tests, scale to N=5,000 for final maps. Global sensitivity: Morris screening (p=4, r=20) then Sobol (Saltelli) with base N=2,000 for prioritized params. Validation: spatial 5-fold blocked CV (5 km block), temporal leave-one-season-out CV. Statistical tests: paired bootstrap test on PR-AUC differences (10,000 resamples) between fuzzy model and each baseline; report 95% bootstrap CIs. Ablations: remove AIS input; remove mechanistic acoustics/collision inputs; switch MF family; fix vs sampled rule weights. Compute: estimate ~125k cells at 200 m; Sobol workload parallelized across 32 cores; log runtimes and memory. Deliverables per run: mean precaution map, SD/confidence map, local Sobol/Shapley rasters, validation scores and bootstrap p-values.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sparsity and bias: sparse seabird/marine-mammal observations and AIS gaps can produce unreliable membership inputs and biased precaution maps. Observation-process uncertainty: distance-sampling and detectability errors may propagate into wrong inputs. Model misspecification: incorrect MF shapes, missing rules, or poor expert priors can yield misleading scores. Spatial autocorrelation: reduces effective sample size and inflates apparent validation skill if not properly blocked. Computational cost: Sobol and large MC ensembles are compute-heavy and may require HPC resources; parallel I/O may bottleneck. Local attribution instability: spatially-local Shapley/Sobol can be unstable in areas with strong input dependence or sparse data. Mechanistic-model uncertainty: acoustic and collision models have broad parameter ranges; poor priors can dominate results. Generalization limits: calibrated models and MFs tuned to western Taiwan may not transfer to other regions without re-calibration. Stakeholder thresholds: different FN/FP cost preferences may produce conflicting precaution maps and constrain operational use.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