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dance_therapy_rehab_bibliometric</w:t>
      </w:r>
    </w:p>
    <w:p>
      <w:r>
        <w:t xml:space="preserve"> </w:t>
      </w:r>
    </w:p>
    <w:p>
      <w:pPr>
        <w:pStyle w:val="Heading2"/>
      </w:pPr>
      <w:r>
        <w:t>Title</w:t>
      </w:r>
    </w:p>
    <w:p>
      <w:r>
        <w:t>Longitudinal bibliometric analysis of research on dance therapy in rehabilitation (2000–2024) using multi-database network mapping and reproducible workflows</w:t>
      </w:r>
    </w:p>
    <w:p>
      <w:r>
        <w:t xml:space="preserve"> </w:t>
      </w:r>
    </w:p>
    <w:p>
      <w:pPr>
        <w:pStyle w:val="Heading2"/>
      </w:pPr>
      <w:r>
        <w:t>Short Hypothesis</w:t>
      </w:r>
    </w:p>
    <w:p>
      <w:r>
        <w:t>Combining Web of Science and Scopus data with reproducible deduplication and harmonization will identify a more comprehensive and differently distributed intellectual structure (clusters, key authors, and country collaborations) for dance therapy in rehabilitation than analyses based on a single database.</w:t>
      </w:r>
    </w:p>
    <w:p>
      <w:r>
        <w:t xml:space="preserve"> </w:t>
      </w:r>
    </w:p>
    <w:p>
      <w:pPr>
        <w:pStyle w:val="Heading2"/>
      </w:pPr>
      <w:r>
        <w:t>Related Work</w:t>
      </w:r>
    </w:p>
    <w:p>
      <w:r>
        <w:t>Existing bibliometric and mapping studies in allied rehabilitation and arts-based therapies typically use a single database, inconsistent preprocessing, and limited temporal analyses. Prior approaches commonly report top journals, authors, and basic co-authorship networks but often omit gray literature, multi-database deduplication, author disambiguation, and reproducible scripts. Conceptual-structure analyses have used keyword co-occurrence (co-word) and co-citation clustering to find themes, and some studies apply citation-burst detection to spot emerging topics. Limitations across current work include (1) coverage bias when only one database is used, (2) inconsistent name/institution harmonization that fragments author/institution signals, (3) sparse use of temporal topic modeling and selection-model bias checks, (4) lack of clinical intervention coding (e.g., TIDieR/CERT) to map methods to themes, and (5) limited reproducibility because search strings, export dates, and scripts are not fully archived. Technical terms: co-citation = two documents cited together (used to find foundational works); bibliographic coupling = two documents that cite the same sources (used to find recent fronts); co-word = shared keywords in documents (used to find topical themes).</w:t>
      </w:r>
    </w:p>
    <w:p>
      <w:r>
        <w:t xml:space="preserve"> </w:t>
      </w:r>
    </w:p>
    <w:p>
      <w:pPr>
        <w:pStyle w:val="Heading2"/>
      </w:pPr>
      <w:r>
        <w:t>Abstract</w:t>
      </w:r>
    </w:p>
    <w:p>
      <w:r>
        <w:t>We present a reproducible, longitudinal bibliometric analysis of dance therapy in rehabilitation from 2000 to 2024 to map the field's intellectual structure, collaboration patterns, and thematic evolution. We will aggregate metadata from Web of Science, Scopus, and PubMed, include targeted gray literature, and apply rigorous preprocessing: deduplication, author disambiguation (ORCID when available), and keyword harmonization. Analyses combine network mapping (co-authorship, co-citation, bibliographic coupling), conceptual mapping (keyword co-occurrence, topic modeling), and temporal dynamics (citation bursts, thematic evolution). Tools include Bibliometrix (R), VOSviewer, CiteSpace, and LDA/STM topic models; all queries, exports, and scripts will be versioned and archived. Main contributions are (1) a cleaned, open dataset and reproducible pipeline, (2) validated maps of research clusters and emerging trends, and (3) a clinical-coded crosswalk of study types and intervention features to guide future trials. Expected outcomes are clearer identification of geographic and thematic gaps, robust reproducible outputs for peer review, and prioritized targets for multicenter and mechanistic research in dance-based rehabilitation.</w:t>
      </w:r>
    </w:p>
    <w:p>
      <w:r>
        <w:t xml:space="preserve"> </w:t>
      </w:r>
    </w:p>
    <w:p>
      <w:pPr>
        <w:pStyle w:val="Heading2"/>
      </w:pPr>
      <w:r>
        <w:t>Experiments</w:t>
      </w:r>
    </w:p>
    <w:p>
      <w:r>
        <w:t>Datasets: Web of Science Core Collection, Scopus, PubMed (2000–2024), gray literature sources (ClinicalTrials.gov, WHO ICTRP, medRxiv/bioRxiv, conference proceedings, theses). Export fields: full metadata including cited references, abstracts, affiliations, DOIs. Preprocessing: perform deterministic deduplication by DOI/title; algorithmic author disambiguation augmented with ORCID; harmonize institution names and keywords (merge synonyms, US/UK spellings). Baselines: (A) combined WoS+Scopus+PubMed (primary), (B) WoS-only, (C) Scopus-only, (D) no-deduplication pipeline, (E) combined excluding gray literature, (F) combined excluding non-English. Network analyses: compute co-authorship, institution, and country networks with full and fractional counting; report node count, edge count, average degree, density, modularity, and top 10 centrality measures (degree, betweenness). Intellectual structure: run document and author co-citation clustering and bibliographic coupling; compare cluster assignments across baselines using Adjusted Rand Index (ARI) and Normalized Mutual Information (NMI). Conceptual mapping: keyword co-occurrence (min frequency=3, association strength normalization), thematic map (Bibliometrix), and LDA/STM topic modeling with K selection (K=5..25) using coherence and held-out likelihood; set.seed(2026) and test stability across seeds [42,1234]. Temporal dynamics: detect citation bursts with CiteSpace; overlay average publication year on keyword maps. Bias and sensitivity analyses: compare top authors/institutions/journals across baselines; compute overlap percentages; perform funnel plots and Egger test for continuous outcomes only when k&gt;=10 (Egger for SMD), run trim-and-fill, PET-PEESE, and selection-model (where software allows) as robustness checks for citation/impact meta-analyses of bibliometric outcomes. Clinical coding ablation: apply TIDieR/CERT-based coding to subset (n=200) and test inter-rater reliability (Cohen's kappa &gt;=0.7). Reproducibility checks: rerun full pipeline on a held-out compute node and compare outputs (network stats, clusters, topic coherence) with exact-seed replication; document runtime and memory. Deliverables: summary tables (counts, top lists), network visualizations, cluster stability metrics, topic exemplars, and archived scripts and raw exports.</w:t>
      </w:r>
    </w:p>
    <w:p>
      <w:r>
        <w:t xml:space="preserve"> </w:t>
      </w:r>
    </w:p>
    <w:p>
      <w:pPr>
        <w:pStyle w:val="Heading2"/>
      </w:pPr>
      <w:r>
        <w:t>Risk Factors And Limitations</w:t>
      </w:r>
    </w:p>
    <w:p>
      <w:r>
        <w:t>Database coverage bias: different databases index different journals and proceedings, so some regions or fields may be underrepresented. Language bias: non-English work may be missed or misclassified if translations are limited. Deduplication and disambiguation errors: imperfect matching can split or merge authors/institutions, altering network metrics. Small sample sizes: for some niche subtopics there may be too few studies (k&lt;10) to run reliable publication-bias tests or meta-regressions. Heterogeneous reporting: inconsistent intervention descriptions limit clinical coding quality and comparability. Topic modeling limits: LDA/STM topics can be unstable and depend on K and preprocessing choices; topics may blend distinct clinical contents. Citation-based measures: citations are biased by age, field size, and self-citation; they may not reflect quality or clinical relevance. Gray literature and preprints: variable metadata quality and lack of peer review reduce interpretability. Reproducibility constraints: paywalled records or API limits may prevent full archival of PDFs; computational limits may arise for very large networks in visualization tools. No individual patient data will be available, so mechanistic or outcome-level causal claims cannot be derived from bibliometrics alone.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