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aesthetics_of_comparativeness_in_islam</w:t>
      </w:r>
    </w:p>
    <w:p>
      <w:r>
        <w:t xml:space="preserve"> </w:t>
      </w:r>
    </w:p>
    <w:p>
      <w:pPr>
        <w:pStyle w:val="Heading2"/>
      </w:pPr>
      <w:r>
        <w:t>Title</w:t>
      </w:r>
    </w:p>
    <w:p>
      <w:r>
        <w:t>Using comparative computational philology, visual motif analysis, and ethnography to test how comparative grammar in Islamic texts shapes regional aesthetic practices in Morocco and Indonesia</w:t>
      </w:r>
    </w:p>
    <w:p>
      <w:r>
        <w:t xml:space="preserve"> </w:t>
      </w:r>
    </w:p>
    <w:p>
      <w:pPr>
        <w:pStyle w:val="Heading2"/>
      </w:pPr>
      <w:r>
        <w:t>Short Hypothesis</w:t>
      </w:r>
    </w:p>
    <w:p>
      <w:r>
        <w:t>Regional variation in the frequency and semantic use of comparative and superlative grammatical forms in Qur'anic interpretation and Sufi literature causes measurable differences in the frequency and stylistic expression of specific aesthetic motifs (calligraphy, vegetal ornament, garden layouts, and bridal display) between Morocco and Indonesia.</w:t>
      </w:r>
    </w:p>
    <w:p>
      <w:r>
        <w:t xml:space="preserve"> </w:t>
      </w:r>
    </w:p>
    <w:p>
      <w:pPr>
        <w:pStyle w:val="Heading2"/>
      </w:pPr>
      <w:r>
        <w:t>Related Work</w:t>
      </w:r>
    </w:p>
    <w:p>
      <w:r>
        <w:t>Prior work divides into three strands: (1) philological and literary studies that analyze comparative language and aesthetics qualitatively but lack large-scale quantification; (2) art-historical and material-culture research mapping motifs across regions but often without systematic linkage to textual grammar; (3) digital humanities and ML efforts applying OCR/HTR, NLP, and computer vision to Islamic texts and images, producing motif detectors and search tools. Limitations: philology studies rarely use reproducible corpora or statistical tests; material-culture work often lacks text-to-object provenance linkage; existing DH/ML pipelines struggle with pre-modern orthography, low-resource Arabic/Persian variants, weak provenance scoring, small or biased image corpora, and limited attention to vernacular and gendered sources. No existing approach integrates clause-level comparative-grammar annotation, provenance-scored multimodal corpora, and mixed-effects inferential models to test causal text-to-material links.</w:t>
      </w:r>
    </w:p>
    <w:p>
      <w:r>
        <w:t xml:space="preserve"> </w:t>
      </w:r>
    </w:p>
    <w:p>
      <w:pPr>
        <w:pStyle w:val="Heading2"/>
      </w:pPr>
      <w:r>
        <w:t>Abstract</w:t>
      </w:r>
    </w:p>
    <w:p>
      <w:r>
        <w:t>This project tests whether comparative grammar in Islamic texts drives region-specific aesthetic outcomes in Morocco and Indonesia. We build a multimodal, provenance-scored corpus combining (a) Qur'anic passages, tafsīr, hadith, and Sufi texts annotated for comparative/superlative forms and their semantics, (b) vernacular ephemera and social-media images, and (c) digitized material objects (calligraphy, tiles, textiles, gardens). Methods combine computational philology (automatic tokenization and clause-level tagging), computer vision for motif detection, and ethnographic metadata. The main contribution is a reproducible pipeline that links linguistic comparative markers to measurable motif frequencies and styles across regions, using statistical models that account for clustering and provenance uncertainty. Expected outcomes include a validated annotation schema, an image-text motif linkage dataset with provenance confidence scores, trained NLP/CV models for comparative markers and motifs, and inferential results testing the causal hypothesis. Results will clarify how textual evaluative grammar maps onto material aesthetics and provide open reproducible artifacts for further study.</w:t>
      </w:r>
    </w:p>
    <w:p>
      <w:r>
        <w:t xml:space="preserve"> </w:t>
      </w:r>
    </w:p>
    <w:p>
      <w:pPr>
        <w:pStyle w:val="Heading2"/>
      </w:pPr>
      <w:r>
        <w:t>Experiments</w:t>
      </w:r>
    </w:p>
    <w:p>
      <w:r>
        <w:t>Datasets: pilot textual corpus = 200 documents (~5M tokens) stratified by register (Qur'an/tafsir/hadith, Sufi texts, vernacular manuals) and temporal windows (800–1400, 1400–1800, 1800–present); full corpus target = 1,000 documents. Image corpus: pilot = 5,000 images (manuscripts, architecture, textiles, curated social-media samples); full = 30,000 images. Each item includes provenance confidence score (0–1). Annotation: clause-level text units annotated for FORM (morphological comparative marker), SYNTACTIC_PATTERN, SEMANTIC_CLASS {literal, metaphoric, theological, social}, and EVALUATIVE_DIRECTION. Image units annotated with bounding boxes, motif labels, and motif confidence. Baselines: (A) qualitative philological coding (expert counts); (B) NLP frequency-only baseline (raw comparative token counts per 10k tokens); (C) CV-only motif frequency baseline; (D) random assignment baseline. Models and pipeline: HTR fine-tuned per script family (Transkribus) → tokenized text → AraBERT/CAMeL-based classifier fine-tuned to predict FORM and SEMANTIC_CLASS; CV: ViT/Faster R-CNN backbones with contrastive learning for motif similarity and Siamese networks for cross-temporal motif matching. Evaluation metrics: normalized comparative-form frequency per 10,000 tokens, chi-square and effect size (Cohen's w) for domain differences; annotation reliability Krippendorff's alpha target ≥0.70; HTR Character Error Rate (CER); CV precision/recall/F1 for motif detection; clustering quality (silhouette) for motif similarity; mixed-effects regression linking textual comparative-use (predictor) to motif frequency in material objects (outcome), with random intercepts for region, time-window, and repository. Statistical controls: model covariates include provenance confidence, document age, genre, and patronage when known. Ablation studies: (1) drop provenance weighting; (2) drop Sufi texts from corpus; (3) replace contrastive motif similarity with standard classification; (4) use single-annotator labels instead of double-blind adjudicated gold standard. Comparative tests: compare full model to baselines using likelihood-ratio tests and compute false-discovery-rate corrected p-values. Reproducibility: release HTR models, annotation schema, model cards, and a preregistered analysis plan.</w:t>
      </w:r>
    </w:p>
    <w:p>
      <w:r>
        <w:t xml:space="preserve"> </w:t>
      </w:r>
    </w:p>
    <w:p>
      <w:pPr>
        <w:pStyle w:val="Heading2"/>
      </w:pPr>
      <w:r>
        <w:t>Risk Factors And Limitations</w:t>
      </w:r>
    </w:p>
    <w:p>
      <w:r>
        <w:t>HTR/OCR failures on pre-modern scripts leading to high CER and biased token counts. Annotation disagreement producing low inter-annotator agreement (Krippendorff's alpha &lt;0.70). Provenance uncertainty: many items lack strong dating/region evidence, limiting causal inference. Sample bias: archival survival favors elite objects and neglects vernacular/gendered sources. Compute/storage limits for training CV and NLP models at full scale. Confounding and causality: co-occurring social, economic, or patronage factors may explain motif differences independent of textual grammar. Generalization limits: findings may not extend beyond Morocco and Indonesia or to other Islamic regions. Ethical/legal constraints: ownership, privacy, or repository restrictions may embargo sensitive items and reduce public release. Statistical risks: multiple testing and clustered data may inflate false positives if not correctly modeled. Resource risks: higher-than-expected costs for manual transcription or material-science dating may reduce dataset size.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