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thermalscapes_cuiaba</w:t>
      </w:r>
    </w:p>
    <w:p>
      <w:r>
        <w:t xml:space="preserve"> </w:t>
      </w:r>
    </w:p>
    <w:p>
      <w:pPr>
        <w:pStyle w:val="Heading2"/>
      </w:pPr>
      <w:r>
        <w:t>Title</w:t>
      </w:r>
    </w:p>
    <w:p>
      <w:r>
        <w:t>Ethnography and participatory biosensing combined with UAV and dense sensor networks to quantify how informal shading alters thermalscapes and pedestrian thermal comfort in an urban retail district in Cuiabá, Brazil</w:t>
      </w:r>
    </w:p>
    <w:p>
      <w:r>
        <w:t xml:space="preserve"> </w:t>
      </w:r>
    </w:p>
    <w:p>
      <w:pPr>
        <w:pStyle w:val="Heading2"/>
      </w:pPr>
      <w:r>
        <w:t>Short Hypothesis</w:t>
      </w:r>
    </w:p>
    <w:p>
      <w:r>
        <w:t>Informal shading elements (cloth canopies, umbrellas, kiosks, vegetation) cause a detectable reduction in daytime mean radiant temperature (Tmrt) and pedestrian air temperature at 1.1 m, producing a measurable improvement in PET thermal comfort index relative to matched unshaded control locations under similar meteorological conditions.</w:t>
      </w:r>
    </w:p>
    <w:p>
      <w:r>
        <w:t xml:space="preserve"> </w:t>
      </w:r>
    </w:p>
    <w:p>
      <w:pPr>
        <w:pStyle w:val="Heading2"/>
      </w:pPr>
      <w:r>
        <w:t>Related Work</w:t>
      </w:r>
    </w:p>
    <w:p>
      <w:r>
        <w:t>Existing work combines pedestrian thermal comfort protocols, sensor deployments, urban microclimate modeling (ENVI-met, CFD), and ethnography. Thermal comfort studies often use indices such as PET (Physiological Equivalent Temperature) and UTCI (Universal Thermal Climate Index) to report human-level effects, but many prior approaches rely on sparse sensors, single-height measurements, or modeled Tmrt proxies rather than direct globe-based or radiative flux measurements. Remote sensing studies provide surface maps but frequently lack ground validation and social context. Ethnographic studies document the social meaning and governance of informal shading but rarely quantify microclimate impacts. Energy and building studies estimate cooling load impacts from formal shading but do not address informal, temporary, or vendor-led canopies. Limitations: limited integration of high-resolution UAV radiometry, participatory biosensing (wearable physiological measures), paired experimental contrasts, and calibrated model–field validation in hot, informal urban retail settings; inconsistent QA/QC and weak sample-size justification in many field studies.</w:t>
      </w:r>
    </w:p>
    <w:p>
      <w:r>
        <w:t xml:space="preserve"> </w:t>
      </w:r>
    </w:p>
    <w:p>
      <w:pPr>
        <w:pStyle w:val="Heading2"/>
      </w:pPr>
      <w:r>
        <w:t>Abstract</w:t>
      </w:r>
    </w:p>
    <w:p>
      <w:r>
        <w:t>Urban retail streets in hot cities often rely on informal shading (canopies, umbrellas, kiosks, vegetation) but the microclimate and human-comfort effects of these practices are not well quantified. This study uses ethnography, participatory biosensing (wearable skin temperature and heart-rate sensors), a dense network of aspirated air T/RH sensors and globe thermometers, and UAV-mounted thermal imaging to measure how informal shading alters mean radiant temperature (Tmrt), air and surface temperatures, and pedestrian thermal comfort (PET/UTCI) in Cuiabá, Brazil. We combine paired on-site experiments (matched shaded vs unshaded locations and temporary canopy manipulations) with ENVI-met and EnergyPlus modeling calibrated to field data. The main contribution is an integrated, reproducible protocol that links social practices to quantified thermalscape effects and energy implications. Expected outcomes include effect-size estimates for common shading typologies (°C and PET/UTCI change), validated model cases, and actionable guidance for informal shading design and governance. Results will clarify trade-offs such as daytime cooling versus nocturnal heat retention and ventilation changes.</w:t>
      </w:r>
    </w:p>
    <w:p>
      <w:r>
        <w:t xml:space="preserve"> </w:t>
      </w:r>
    </w:p>
    <w:p>
      <w:pPr>
        <w:pStyle w:val="Heading2"/>
      </w:pPr>
      <w:r>
        <w:t>Experiments</w:t>
      </w:r>
    </w:p>
    <w:p>
      <w:r>
        <w:t>Datasets: 1) Ground sensor timeseries: 20–30 aspirated air T/RH sensors at pedestrian heights (0.6 m, 1.1 m, 2.0 m), 150 mm globe thermometers for Tg, horizontal pyranometer and net radiometer at representative sites, ultrasonic anemometers at 2–5 sites; sampling 1 min raw, store 5-min averages. 2) UAV thermal orthomosaics: monthly flights with radiometric calibration panels, RTK georeference. 3) Participatory biosensing: N=40 participants (vendors and shoppers) wearing wrist-worn skin temperature and heart-rate sensors during 2–4 h sessions. 4) Ethnographic records: semistructured interviews with ~60 stakeholders and participatory mapping. Baselines: matched unshaded control locations (paired design), pre-intervention periods, ENVI-met simulations without informal shading, and EnergyPlus building runs with and without shading masks. Experimental setup: stratify ~30 paired sites across three morphology strata (canyon, alley, mixed frontage); replicate 4–6 times per shading typology (cloth canopy, umbrella, kiosk, vegetation). Perform paired-block interventions: add/remove shade cloths at multiple openness levels (10%, 50%, 90%) and heights (1–3 m). Synchronize UAV flights within ±5 minutes of ground noon window. Statistical models and tests: primary analysis uses a linear mixed-effects model for ΔTair: ΔTair_it = β0 + β1·Shade_i + β2·Radiation_t + β3·Wind_t + u_site + u_day + ε_it, with random intercepts u_site ~ N(0,σ_site^2), u_day ~ N(0,σ_day^2) and AR(1) residuals ε_it = ρ ε_i,t-1 + η_it; estimate via restricted maximum likelihood (REML). Secondary analyses: paired t-tests, difference-in-differences (DiD) with parallel-trend checks, and random-forest models for nonlinear controls. Evaluation metrics: ΔTair (°C), ΔTmrt (°C), ΔTsurface (°C), ΔPET and ΔUTCI (°C-equivalent), effect sizes with 95% CI, RMSE and bias for model vs observed hourly Tair and surface T (target metrics reported), and physiological responses (skin temperature change, heart-rate variations). Comparison/ablation studies: 1) ground-only sensor network vs ground+UAV fusion for surface temperature mapping; 2) canopy openness ablation: compare 10%/50%/90% openness to quantify radiative vs ventilation effects; 3) model ablation: ENVI-met with default canopy parameters vs ENVI-met calibrated to field optical/porosity measurements. Model validation: compute RMSE, bias, Pearson r between modeled and observed hourly Tair and Tsurface and report per-site and aggregated statistics.</w:t>
      </w:r>
    </w:p>
    <w:p>
      <w:r>
        <w:t xml:space="preserve"> </w:t>
      </w:r>
    </w:p>
    <w:p>
      <w:pPr>
        <w:pStyle w:val="Heading2"/>
      </w:pPr>
      <w:r>
        <w:t>Risk Factors And Limitations</w:t>
      </w:r>
    </w:p>
    <w:p>
      <w:r>
        <w:t>Technical failures: sensor drift, calibration errors, or loss (theft or vandalism) reducing sample size; UAV flight cancellations due to weather (wind, rain) limiting temporal alignment. Measurement uncertainties: emissivity assignment errors for mixed urban materials, view-angle effects in UAV radiometry, and incomplete Tmrt capture under complex shading geometries. Statistical risks: unmeasured confounders (rapid weather changes, transient shading by people/vehicles), high intra-site variability increasing required sample sizes, and serial correlation mis-specification affecting inference. Modeling limits: ENVI-met and EnergyPlus simplifications may not capture fine-scale ventilation or transient canopy behavior; model bias might remain after calibration. Biosensing and ethnography: small participant samples and self-selection bias limit generalizability of physiological and social findings. Scalability and cost: dense sensor networks, UAV operations, and repeated field campaigns are resource-intensive and may be infeasible at larger city scales. External validity: results from Cuiabá hot urban core may not generalize to temperate climates or different urban forms.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